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25B" w:rsidRDefault="00C6025B">
      <w:bookmarkStart w:id="0" w:name="_GoBack"/>
      <w:bookmarkEnd w:id="0"/>
    </w:p>
    <w:p w:rsidR="001A02B2" w:rsidRPr="00F9377F" w:rsidRDefault="001A02B2" w:rsidP="001A02B2">
      <w:pPr>
        <w:rPr>
          <w:noProof/>
          <w:color w:val="002673"/>
          <w:sz w:val="56"/>
          <w:szCs w:val="56"/>
        </w:rPr>
      </w:pPr>
      <w:r w:rsidRPr="00F9377F">
        <w:rPr>
          <w:noProof/>
        </w:rPr>
        <w:drawing>
          <wp:anchor distT="0" distB="0" distL="114300" distR="114300" simplePos="0" relativeHeight="251659264" behindDoc="0" locked="0" layoutInCell="1" allowOverlap="1" wp14:anchorId="7285A246" wp14:editId="0BAF3F49">
            <wp:simplePos x="0" y="0"/>
            <wp:positionH relativeFrom="column">
              <wp:posOffset>8396605</wp:posOffset>
            </wp:positionH>
            <wp:positionV relativeFrom="paragraph">
              <wp:posOffset>1905</wp:posOffset>
            </wp:positionV>
            <wp:extent cx="1527810" cy="15091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41316" cy="1522469"/>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F9377F">
        <w:rPr>
          <w:rFonts w:ascii="Kristen ITC" w:hAnsi="Kristen ITC"/>
          <w:color w:val="002673"/>
          <w:sz w:val="56"/>
          <w:szCs w:val="56"/>
        </w:rPr>
        <w:t>Lancasterian</w:t>
      </w:r>
      <w:proofErr w:type="spellEnd"/>
      <w:r w:rsidRPr="00F9377F">
        <w:rPr>
          <w:rFonts w:ascii="Kristen ITC" w:hAnsi="Kristen ITC"/>
          <w:color w:val="002673"/>
          <w:sz w:val="56"/>
          <w:szCs w:val="56"/>
        </w:rPr>
        <w:t xml:space="preserve"> Primary School</w:t>
      </w:r>
    </w:p>
    <w:p w:rsidR="001A02B2" w:rsidRPr="00F9377F" w:rsidRDefault="001A02B2" w:rsidP="001A02B2">
      <w:pPr>
        <w:rPr>
          <w:color w:val="002673"/>
        </w:rPr>
      </w:pPr>
      <w:r w:rsidRPr="00F9377F">
        <w:rPr>
          <w:color w:val="002673"/>
        </w:rPr>
        <w:t>A safe and welcoming learning community where:</w:t>
      </w:r>
    </w:p>
    <w:p w:rsidR="001A02B2" w:rsidRPr="00F9377F" w:rsidRDefault="001A02B2" w:rsidP="001A02B2">
      <w:pPr>
        <w:pStyle w:val="ListParagraph"/>
        <w:numPr>
          <w:ilvl w:val="0"/>
          <w:numId w:val="7"/>
        </w:numPr>
        <w:ind w:left="454" w:hanging="283"/>
        <w:rPr>
          <w:color w:val="002673"/>
          <w:sz w:val="24"/>
          <w:szCs w:val="24"/>
        </w:rPr>
      </w:pPr>
      <w:r w:rsidRPr="00F9377F">
        <w:rPr>
          <w:color w:val="002673"/>
          <w:sz w:val="24"/>
          <w:szCs w:val="24"/>
        </w:rPr>
        <w:t>we all aim high;</w:t>
      </w:r>
    </w:p>
    <w:p w:rsidR="001A02B2" w:rsidRPr="00F9377F" w:rsidRDefault="001A02B2" w:rsidP="001A02B2">
      <w:pPr>
        <w:pStyle w:val="ListParagraph"/>
        <w:numPr>
          <w:ilvl w:val="0"/>
          <w:numId w:val="7"/>
        </w:numPr>
        <w:ind w:left="454" w:hanging="283"/>
        <w:rPr>
          <w:color w:val="002673"/>
          <w:sz w:val="24"/>
          <w:szCs w:val="24"/>
        </w:rPr>
      </w:pPr>
      <w:r w:rsidRPr="00F9377F">
        <w:rPr>
          <w:color w:val="002673"/>
          <w:sz w:val="24"/>
          <w:szCs w:val="24"/>
        </w:rPr>
        <w:t>everyone is included;</w:t>
      </w:r>
    </w:p>
    <w:p w:rsidR="001A02B2" w:rsidRPr="00F9377F" w:rsidRDefault="001A02B2" w:rsidP="001A02B2">
      <w:pPr>
        <w:pStyle w:val="ListParagraph"/>
        <w:numPr>
          <w:ilvl w:val="0"/>
          <w:numId w:val="7"/>
        </w:numPr>
        <w:ind w:left="454" w:hanging="283"/>
        <w:rPr>
          <w:color w:val="002673"/>
          <w:sz w:val="24"/>
          <w:szCs w:val="24"/>
        </w:rPr>
      </w:pPr>
      <w:r w:rsidRPr="00F9377F">
        <w:rPr>
          <w:color w:val="002673"/>
          <w:sz w:val="24"/>
          <w:szCs w:val="24"/>
        </w:rPr>
        <w:t>creativity is valued.</w:t>
      </w:r>
    </w:p>
    <w:p w:rsidR="001A02B2" w:rsidRDefault="001A02B2"/>
    <w:p w:rsidR="00396C22" w:rsidRDefault="004669D3">
      <w:pPr>
        <w:rPr>
          <w:b/>
          <w:sz w:val="36"/>
          <w:szCs w:val="36"/>
        </w:rPr>
      </w:pPr>
      <w:r>
        <w:t xml:space="preserve"> </w:t>
      </w:r>
      <w:r w:rsidR="00B7761D">
        <w:rPr>
          <w:b/>
          <w:sz w:val="36"/>
          <w:szCs w:val="36"/>
        </w:rPr>
        <w:t>Catch-Up Premium Plan</w:t>
      </w:r>
      <w:r w:rsidR="000A1A7B">
        <w:rPr>
          <w:b/>
          <w:sz w:val="36"/>
          <w:szCs w:val="36"/>
        </w:rPr>
        <w:t xml:space="preserve"> 2020/21</w:t>
      </w:r>
    </w:p>
    <w:p w:rsidR="00BD2E6B" w:rsidRDefault="00396C22">
      <w:pPr>
        <w:spacing w:after="240"/>
        <w:rPr>
          <w:b/>
          <w:color w:val="FFFFFF"/>
          <w:sz w:val="12"/>
          <w:szCs w:val="12"/>
        </w:rPr>
      </w:pPr>
      <w:r>
        <w:rPr>
          <w:b/>
          <w:color w:val="000000"/>
          <w:sz w:val="20"/>
          <w:szCs w:val="20"/>
        </w:rPr>
        <w:t xml:space="preserve">The below plan outlines our key strategies which are funded by the COVID Catch-Up Premium.  </w:t>
      </w:r>
      <w:r w:rsidR="007C66EB">
        <w:rPr>
          <w:b/>
          <w:color w:val="000000"/>
          <w:sz w:val="20"/>
          <w:szCs w:val="20"/>
        </w:rPr>
        <w:t>All other teaching and whole school strategies</w:t>
      </w:r>
      <w:r>
        <w:rPr>
          <w:b/>
          <w:color w:val="000000"/>
          <w:sz w:val="20"/>
          <w:szCs w:val="20"/>
        </w:rPr>
        <w:t xml:space="preserve"> linked to our in-school catch-up provision and recovery curriculum</w:t>
      </w:r>
      <w:r w:rsidR="007C66EB">
        <w:rPr>
          <w:b/>
          <w:color w:val="000000"/>
          <w:sz w:val="20"/>
          <w:szCs w:val="20"/>
        </w:rPr>
        <w:t xml:space="preserve"> are addressed in the Self-Evaluation and School Improvement Plan (SESIP) 2020/21</w:t>
      </w:r>
      <w:r>
        <w:rPr>
          <w:b/>
          <w:color w:val="000000"/>
          <w:sz w:val="20"/>
          <w:szCs w:val="20"/>
        </w:rPr>
        <w:t xml:space="preserve">. </w:t>
      </w:r>
    </w:p>
    <w:tbl>
      <w:tblPr>
        <w:tblStyle w:val="a"/>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1276"/>
        <w:gridCol w:w="3632"/>
        <w:gridCol w:w="1471"/>
        <w:gridCol w:w="4819"/>
        <w:gridCol w:w="1559"/>
      </w:tblGrid>
      <w:tr w:rsidR="00BD2E6B" w:rsidTr="001A02B2">
        <w:tc>
          <w:tcPr>
            <w:tcW w:w="15417" w:type="dxa"/>
            <w:gridSpan w:val="6"/>
            <w:shd w:val="clear" w:color="auto" w:fill="002060"/>
            <w:tcMar>
              <w:top w:w="57" w:type="dxa"/>
              <w:bottom w:w="57" w:type="dxa"/>
            </w:tcMar>
          </w:tcPr>
          <w:p w:rsidR="00BD2E6B" w:rsidRDefault="00B7761D">
            <w:pPr>
              <w:rPr>
                <w:b/>
                <w:color w:val="FFFFFF"/>
                <w:sz w:val="24"/>
                <w:szCs w:val="24"/>
              </w:rPr>
            </w:pPr>
            <w:r>
              <w:rPr>
                <w:b/>
                <w:color w:val="FFFFFF"/>
                <w:sz w:val="24"/>
                <w:szCs w:val="24"/>
              </w:rPr>
              <w:t>Summary information</w:t>
            </w:r>
          </w:p>
        </w:tc>
      </w:tr>
      <w:tr w:rsidR="00BD2E6B">
        <w:tc>
          <w:tcPr>
            <w:tcW w:w="2660" w:type="dxa"/>
            <w:tcMar>
              <w:top w:w="57" w:type="dxa"/>
              <w:bottom w:w="57" w:type="dxa"/>
            </w:tcMar>
          </w:tcPr>
          <w:p w:rsidR="00BD2E6B" w:rsidRDefault="00B7761D">
            <w:pPr>
              <w:rPr>
                <w:b/>
              </w:rPr>
            </w:pPr>
            <w:r>
              <w:rPr>
                <w:b/>
              </w:rPr>
              <w:t>School</w:t>
            </w:r>
          </w:p>
        </w:tc>
        <w:tc>
          <w:tcPr>
            <w:tcW w:w="12757" w:type="dxa"/>
            <w:gridSpan w:val="5"/>
            <w:tcMar>
              <w:top w:w="57" w:type="dxa"/>
              <w:bottom w:w="57" w:type="dxa"/>
            </w:tcMar>
          </w:tcPr>
          <w:p w:rsidR="00BD2E6B" w:rsidRDefault="001A02B2">
            <w:proofErr w:type="spellStart"/>
            <w:r>
              <w:t>Lancasterian</w:t>
            </w:r>
            <w:proofErr w:type="spellEnd"/>
            <w:r>
              <w:t xml:space="preserve"> Primary School</w:t>
            </w:r>
          </w:p>
        </w:tc>
      </w:tr>
      <w:tr w:rsidR="00BD2E6B">
        <w:trPr>
          <w:trHeight w:val="326"/>
        </w:trPr>
        <w:tc>
          <w:tcPr>
            <w:tcW w:w="2660" w:type="dxa"/>
            <w:tcMar>
              <w:top w:w="57" w:type="dxa"/>
              <w:bottom w:w="57" w:type="dxa"/>
            </w:tcMar>
          </w:tcPr>
          <w:p w:rsidR="00BD2E6B" w:rsidRDefault="00B7761D">
            <w:pPr>
              <w:rPr>
                <w:b/>
              </w:rPr>
            </w:pPr>
            <w:r>
              <w:rPr>
                <w:b/>
              </w:rPr>
              <w:t>Academic Year</w:t>
            </w:r>
          </w:p>
        </w:tc>
        <w:tc>
          <w:tcPr>
            <w:tcW w:w="1276" w:type="dxa"/>
            <w:tcMar>
              <w:top w:w="57" w:type="dxa"/>
              <w:bottom w:w="57" w:type="dxa"/>
            </w:tcMar>
          </w:tcPr>
          <w:p w:rsidR="00BD2E6B" w:rsidRDefault="00B7761D">
            <w:r>
              <w:t>2020-21</w:t>
            </w:r>
          </w:p>
        </w:tc>
        <w:tc>
          <w:tcPr>
            <w:tcW w:w="3632" w:type="dxa"/>
          </w:tcPr>
          <w:p w:rsidR="00BD2E6B" w:rsidRDefault="00B7761D">
            <w:pPr>
              <w:rPr>
                <w:highlight w:val="yellow"/>
              </w:rPr>
            </w:pPr>
            <w:r>
              <w:rPr>
                <w:b/>
              </w:rPr>
              <w:t>Total Catch-Up Premium</w:t>
            </w:r>
          </w:p>
        </w:tc>
        <w:tc>
          <w:tcPr>
            <w:tcW w:w="1471" w:type="dxa"/>
          </w:tcPr>
          <w:p w:rsidR="00BD2E6B" w:rsidRDefault="001A02B2">
            <w:pPr>
              <w:rPr>
                <w:color w:val="000000"/>
              </w:rPr>
            </w:pPr>
            <w:r w:rsidRPr="001A02B2">
              <w:rPr>
                <w:color w:val="000000"/>
              </w:rPr>
              <w:t>£31,840</w:t>
            </w:r>
          </w:p>
        </w:tc>
        <w:tc>
          <w:tcPr>
            <w:tcW w:w="4819" w:type="dxa"/>
          </w:tcPr>
          <w:p w:rsidR="00BD2E6B" w:rsidRDefault="00B7761D">
            <w:r>
              <w:rPr>
                <w:b/>
              </w:rPr>
              <w:t>Number of pupils</w:t>
            </w:r>
          </w:p>
        </w:tc>
        <w:tc>
          <w:tcPr>
            <w:tcW w:w="1559" w:type="dxa"/>
          </w:tcPr>
          <w:p w:rsidR="00BD2E6B" w:rsidRDefault="001A02B2">
            <w:r>
              <w:t>391</w:t>
            </w:r>
          </w:p>
        </w:tc>
      </w:tr>
    </w:tbl>
    <w:p w:rsidR="00BD2E6B" w:rsidRDefault="00BD2E6B">
      <w:pPr>
        <w:rPr>
          <w:sz w:val="16"/>
          <w:szCs w:val="16"/>
        </w:rPr>
      </w:pPr>
    </w:p>
    <w:p w:rsidR="00DC6EC7" w:rsidRDefault="00DC6EC7" w:rsidP="00DC6EC7">
      <w:pPr>
        <w:rPr>
          <w:sz w:val="16"/>
          <w:szCs w:val="16"/>
        </w:rPr>
      </w:pPr>
    </w:p>
    <w:tbl>
      <w:tblPr>
        <w:tblW w:w="15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03"/>
        <w:gridCol w:w="7702"/>
      </w:tblGrid>
      <w:tr w:rsidR="00DC6EC7" w:rsidTr="00DC6EC7">
        <w:trPr>
          <w:trHeight w:val="225"/>
        </w:trPr>
        <w:tc>
          <w:tcPr>
            <w:tcW w:w="15412" w:type="dxa"/>
            <w:gridSpan w:val="2"/>
            <w:tcBorders>
              <w:top w:val="single" w:sz="4" w:space="0" w:color="000000"/>
              <w:left w:val="single" w:sz="4" w:space="0" w:color="000000"/>
              <w:bottom w:val="single" w:sz="4" w:space="0" w:color="000000"/>
              <w:right w:val="single" w:sz="4" w:space="0" w:color="000000"/>
            </w:tcBorders>
            <w:shd w:val="clear" w:color="auto" w:fill="002060"/>
            <w:tcMar>
              <w:top w:w="57" w:type="dxa"/>
              <w:left w:w="108" w:type="dxa"/>
              <w:bottom w:w="57" w:type="dxa"/>
              <w:right w:w="108" w:type="dxa"/>
            </w:tcMar>
            <w:hideMark/>
          </w:tcPr>
          <w:p w:rsidR="00DC6EC7" w:rsidRDefault="00DC6EC7">
            <w:pPr>
              <w:spacing w:after="120"/>
              <w:rPr>
                <w:color w:val="FFFFFF"/>
                <w:sz w:val="24"/>
                <w:szCs w:val="24"/>
              </w:rPr>
            </w:pPr>
            <w:r>
              <w:rPr>
                <w:b/>
                <w:color w:val="FFFFFF"/>
                <w:sz w:val="24"/>
                <w:szCs w:val="24"/>
              </w:rPr>
              <w:t>Guidance</w:t>
            </w:r>
          </w:p>
        </w:tc>
      </w:tr>
      <w:tr w:rsidR="00DC6EC7" w:rsidTr="00DC6EC7">
        <w:trPr>
          <w:trHeight w:val="755"/>
        </w:trPr>
        <w:tc>
          <w:tcPr>
            <w:tcW w:w="15412" w:type="dxa"/>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DC6EC7" w:rsidRDefault="00DC6EC7">
            <w:pPr>
              <w:rPr>
                <w:color w:val="0B0C0C"/>
                <w:highlight w:val="white"/>
              </w:rPr>
            </w:pPr>
          </w:p>
          <w:p w:rsidR="00DC6EC7" w:rsidRDefault="00DC6EC7">
            <w:pPr>
              <w:rPr>
                <w:color w:val="0B0C0C"/>
                <w:highlight w:val="white"/>
              </w:rPr>
            </w:pPr>
            <w:r>
              <w:rPr>
                <w:color w:val="0B0C0C"/>
                <w:highlight w:val="white"/>
              </w:rPr>
              <w:t xml:space="preserve">Children and young people across the country have experienced unprecedented disruption to their education as a result of coronavirus (COVID-19). Those from the most vulnerable and disadvantaged backgrounds will be among </w:t>
            </w:r>
            <w:proofErr w:type="gramStart"/>
            <w:r>
              <w:rPr>
                <w:color w:val="0B0C0C"/>
                <w:highlight w:val="white"/>
              </w:rPr>
              <w:t>those hardest hit</w:t>
            </w:r>
            <w:proofErr w:type="gramEnd"/>
            <w:r>
              <w:rPr>
                <w:color w:val="0B0C0C"/>
                <w:highlight w:val="white"/>
              </w:rPr>
              <w:t>. The aggregate impact of lost time in education will be substantial, and the scale of our response must match the scale of the challenge.</w:t>
            </w:r>
          </w:p>
          <w:p w:rsidR="00DC6EC7" w:rsidRDefault="00DC6EC7">
            <w:pPr>
              <w:rPr>
                <w:color w:val="0B0C0C"/>
                <w:highlight w:val="white"/>
              </w:rPr>
            </w:pPr>
          </w:p>
          <w:p w:rsidR="00DC6EC7" w:rsidRDefault="00DC6EC7">
            <w:pPr>
              <w:rPr>
                <w:color w:val="0B0C0C"/>
                <w:highlight w:val="white"/>
              </w:rPr>
            </w:pPr>
            <w:r>
              <w:rPr>
                <w:color w:val="0B0C0C"/>
                <w:highlight w:val="white"/>
              </w:rPr>
              <w:t>Schools’ allocations will be calculated on a per pupil basis, providing each mainstream school with a total of £80 for each pupil in year’s reception through to 11.</w:t>
            </w:r>
          </w:p>
          <w:p w:rsidR="00DC6EC7" w:rsidRDefault="00DC6EC7">
            <w:pPr>
              <w:rPr>
                <w:color w:val="0B0C0C"/>
                <w:highlight w:val="white"/>
              </w:rPr>
            </w:pPr>
          </w:p>
          <w:p w:rsidR="00DC6EC7" w:rsidRDefault="00DC6EC7">
            <w:pPr>
              <w:rPr>
                <w:color w:val="0B0C0C"/>
                <w:highlight w:val="white"/>
              </w:rPr>
            </w:pPr>
            <w:r>
              <w:rPr>
                <w:color w:val="0B0C0C"/>
                <w:highlight w:val="white"/>
              </w:rPr>
              <w:t>As the catch-up premium has been designed to mitigate the effects of the unique disruption caused by coronavirus (COVID-19), the grant will only be available for the 2020 to 2021 academic year. It will not be added to schools’ baselines in calculating future years’ funding allocations.</w:t>
            </w:r>
          </w:p>
          <w:p w:rsidR="00DC6EC7" w:rsidRDefault="00DC6EC7"/>
        </w:tc>
      </w:tr>
      <w:tr w:rsidR="00DC6EC7" w:rsidTr="00DC6EC7">
        <w:trPr>
          <w:trHeight w:val="332"/>
        </w:trPr>
        <w:tc>
          <w:tcPr>
            <w:tcW w:w="7706" w:type="dxa"/>
            <w:tcBorders>
              <w:top w:val="single" w:sz="4" w:space="0" w:color="000000"/>
              <w:left w:val="single" w:sz="4" w:space="0" w:color="000000"/>
              <w:bottom w:val="single" w:sz="4" w:space="0" w:color="000000"/>
              <w:right w:val="single" w:sz="4" w:space="0" w:color="000000"/>
            </w:tcBorders>
            <w:shd w:val="clear" w:color="auto" w:fill="002060"/>
            <w:tcMar>
              <w:top w:w="57" w:type="dxa"/>
              <w:left w:w="108" w:type="dxa"/>
              <w:bottom w:w="57" w:type="dxa"/>
              <w:right w:w="108" w:type="dxa"/>
            </w:tcMar>
            <w:hideMark/>
          </w:tcPr>
          <w:p w:rsidR="00DC6EC7" w:rsidRDefault="00DC6EC7">
            <w:pPr>
              <w:rPr>
                <w:color w:val="FFFFFF"/>
                <w:sz w:val="24"/>
                <w:szCs w:val="24"/>
              </w:rPr>
            </w:pPr>
            <w:r>
              <w:rPr>
                <w:b/>
                <w:color w:val="FFFFFF"/>
                <w:sz w:val="24"/>
                <w:szCs w:val="24"/>
              </w:rPr>
              <w:t>Use of Funds</w:t>
            </w:r>
          </w:p>
        </w:tc>
        <w:tc>
          <w:tcPr>
            <w:tcW w:w="7706" w:type="dxa"/>
            <w:tcBorders>
              <w:top w:val="single" w:sz="4" w:space="0" w:color="000000"/>
              <w:left w:val="single" w:sz="4" w:space="0" w:color="000000"/>
              <w:bottom w:val="single" w:sz="4" w:space="0" w:color="000000"/>
              <w:right w:val="single" w:sz="4" w:space="0" w:color="000000"/>
            </w:tcBorders>
            <w:shd w:val="clear" w:color="auto" w:fill="002060"/>
            <w:hideMark/>
          </w:tcPr>
          <w:p w:rsidR="00DC6EC7" w:rsidRDefault="00DC6EC7">
            <w:pPr>
              <w:rPr>
                <w:b/>
                <w:color w:val="FFFFFF"/>
                <w:sz w:val="24"/>
                <w:szCs w:val="24"/>
              </w:rPr>
            </w:pPr>
            <w:r>
              <w:rPr>
                <w:b/>
                <w:color w:val="FFFFFF"/>
                <w:sz w:val="24"/>
                <w:szCs w:val="24"/>
              </w:rPr>
              <w:t>EEF Recommendations</w:t>
            </w:r>
          </w:p>
        </w:tc>
      </w:tr>
      <w:tr w:rsidR="00DC6EC7" w:rsidTr="00DC6EC7">
        <w:trPr>
          <w:trHeight w:val="755"/>
        </w:trPr>
        <w:tc>
          <w:tcPr>
            <w:tcW w:w="770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DC6EC7" w:rsidRDefault="00DC6EC7">
            <w:pPr>
              <w:shd w:val="clear" w:color="auto" w:fill="FFFFFF"/>
              <w:rPr>
                <w:color w:val="0B0C0C"/>
              </w:rPr>
            </w:pPr>
          </w:p>
          <w:p w:rsidR="00DC6EC7" w:rsidRDefault="00DC6EC7">
            <w:pPr>
              <w:shd w:val="clear" w:color="auto" w:fill="FFFFFF"/>
              <w:rPr>
                <w:color w:val="0B0C0C"/>
              </w:rPr>
            </w:pPr>
            <w:r>
              <w:rPr>
                <w:color w:val="0B0C0C"/>
              </w:rPr>
              <w:t>Schools should use this funding for specific activities to support their pupils to catch up for lost teaching over the previous months, in line with the guidance on </w:t>
            </w:r>
            <w:hyperlink r:id="rId11" w:anchor="section-3-curriculum-behaviour-and-pastoral-support" w:history="1">
              <w:r>
                <w:rPr>
                  <w:rStyle w:val="Hyperlink"/>
                  <w:color w:val="4C2C92"/>
                </w:rPr>
                <w:t>curriculum expectations for the next academic year</w:t>
              </w:r>
            </w:hyperlink>
            <w:r>
              <w:rPr>
                <w:color w:val="0B0C0C"/>
              </w:rPr>
              <w:t>.</w:t>
            </w:r>
          </w:p>
          <w:p w:rsidR="00DC6EC7" w:rsidRDefault="00DC6EC7">
            <w:pPr>
              <w:shd w:val="clear" w:color="auto" w:fill="FFFFFF"/>
              <w:spacing w:before="300" w:after="300"/>
              <w:rPr>
                <w:color w:val="0B0C0C"/>
              </w:rPr>
            </w:pPr>
            <w:r>
              <w:rPr>
                <w:color w:val="0B0C0C"/>
              </w:rPr>
              <w:lastRenderedPageBreak/>
              <w:t>Schools have the flexibility to spend their funding in the best way for their cohort and circumstances.</w:t>
            </w:r>
          </w:p>
          <w:p w:rsidR="00DC6EC7" w:rsidRDefault="00DC6EC7">
            <w:pPr>
              <w:shd w:val="clear" w:color="auto" w:fill="FFFFFF"/>
              <w:rPr>
                <w:color w:val="0B0C0C"/>
              </w:rPr>
            </w:pPr>
            <w:r>
              <w:rPr>
                <w:color w:val="0B0C0C"/>
              </w:rPr>
              <w:t>To support schools to make the best use of this funding, the Education Endowment Foundation (EEF) has published a </w:t>
            </w:r>
            <w:hyperlink r:id="rId12" w:anchor="nav-covid-19-support-guide-for-schools1" w:history="1">
              <w:r>
                <w:rPr>
                  <w:rStyle w:val="Hyperlink"/>
                  <w:color w:val="4C2C92"/>
                </w:rPr>
                <w:t>coronavirus (COVID-19) support guide for schools</w:t>
              </w:r>
            </w:hyperlink>
            <w:r>
              <w:rPr>
                <w:color w:val="0B0C0C"/>
              </w:rPr>
              <w:t> with evidence-based approaches to catch up for all students. Schools should use this document to help them direct their additional funding in the most effective way.</w:t>
            </w:r>
          </w:p>
          <w:p w:rsidR="00DC6EC7" w:rsidRDefault="00DC6EC7"/>
          <w:p w:rsidR="00DC6EC7" w:rsidRDefault="00DC6EC7"/>
        </w:tc>
        <w:tc>
          <w:tcPr>
            <w:tcW w:w="7706" w:type="dxa"/>
            <w:tcBorders>
              <w:top w:val="single" w:sz="4" w:space="0" w:color="000000"/>
              <w:left w:val="single" w:sz="4" w:space="0" w:color="000000"/>
              <w:bottom w:val="single" w:sz="4" w:space="0" w:color="000000"/>
              <w:right w:val="single" w:sz="4" w:space="0" w:color="000000"/>
            </w:tcBorders>
          </w:tcPr>
          <w:p w:rsidR="00DC6EC7" w:rsidRDefault="00DC6EC7"/>
          <w:p w:rsidR="00DC6EC7" w:rsidRDefault="00DC6EC7">
            <w:r>
              <w:t>The EEF advises the following:</w:t>
            </w:r>
          </w:p>
          <w:p w:rsidR="00DC6EC7" w:rsidRDefault="00DC6EC7"/>
          <w:p w:rsidR="00DC6EC7" w:rsidRDefault="00DC6EC7">
            <w:r>
              <w:t xml:space="preserve">Teaching and whole school strategies </w:t>
            </w:r>
          </w:p>
          <w:p w:rsidR="00DC6EC7" w:rsidRDefault="00DC6EC7" w:rsidP="00DC6EC7">
            <w:pPr>
              <w:numPr>
                <w:ilvl w:val="0"/>
                <w:numId w:val="9"/>
              </w:numPr>
              <w:rPr>
                <w:color w:val="000000"/>
              </w:rPr>
            </w:pPr>
            <w:r>
              <w:rPr>
                <w:color w:val="000000"/>
              </w:rPr>
              <w:t>Supporting great teaching</w:t>
            </w:r>
          </w:p>
          <w:p w:rsidR="00DC6EC7" w:rsidRDefault="00DC6EC7" w:rsidP="00DC6EC7">
            <w:pPr>
              <w:numPr>
                <w:ilvl w:val="0"/>
                <w:numId w:val="9"/>
              </w:numPr>
              <w:rPr>
                <w:color w:val="000000"/>
              </w:rPr>
            </w:pPr>
            <w:r>
              <w:rPr>
                <w:color w:val="000000"/>
              </w:rPr>
              <w:t xml:space="preserve">Pupil assessment and feedback </w:t>
            </w:r>
          </w:p>
          <w:p w:rsidR="00DC6EC7" w:rsidRDefault="00DC6EC7" w:rsidP="00DC6EC7">
            <w:pPr>
              <w:numPr>
                <w:ilvl w:val="0"/>
                <w:numId w:val="9"/>
              </w:numPr>
              <w:rPr>
                <w:color w:val="000000"/>
              </w:rPr>
            </w:pPr>
            <w:r>
              <w:rPr>
                <w:color w:val="000000"/>
              </w:rPr>
              <w:t>Transition support</w:t>
            </w:r>
          </w:p>
          <w:p w:rsidR="00DC6EC7" w:rsidRDefault="00DC6EC7"/>
          <w:p w:rsidR="00DC6EC7" w:rsidRDefault="00DC6EC7">
            <w:r>
              <w:t xml:space="preserve">Targeted approaches </w:t>
            </w:r>
          </w:p>
          <w:p w:rsidR="00DC6EC7" w:rsidRDefault="00DC6EC7" w:rsidP="00DC6EC7">
            <w:pPr>
              <w:numPr>
                <w:ilvl w:val="0"/>
                <w:numId w:val="10"/>
              </w:numPr>
              <w:rPr>
                <w:color w:val="000000"/>
              </w:rPr>
            </w:pPr>
            <w:r>
              <w:rPr>
                <w:color w:val="000000"/>
              </w:rPr>
              <w:t xml:space="preserve">One to one and small group tuition </w:t>
            </w:r>
          </w:p>
          <w:p w:rsidR="00DC6EC7" w:rsidRDefault="00DC6EC7" w:rsidP="00DC6EC7">
            <w:pPr>
              <w:numPr>
                <w:ilvl w:val="0"/>
                <w:numId w:val="10"/>
              </w:numPr>
              <w:rPr>
                <w:color w:val="000000"/>
              </w:rPr>
            </w:pPr>
            <w:r>
              <w:rPr>
                <w:color w:val="000000"/>
              </w:rPr>
              <w:t xml:space="preserve">Intervention programmes </w:t>
            </w:r>
          </w:p>
          <w:p w:rsidR="00DC6EC7" w:rsidRDefault="00DC6EC7" w:rsidP="00DC6EC7">
            <w:pPr>
              <w:numPr>
                <w:ilvl w:val="0"/>
                <w:numId w:val="10"/>
              </w:numPr>
              <w:rPr>
                <w:color w:val="000000"/>
              </w:rPr>
            </w:pPr>
            <w:r>
              <w:rPr>
                <w:color w:val="000000"/>
              </w:rPr>
              <w:t>Extended school time</w:t>
            </w:r>
          </w:p>
          <w:p w:rsidR="00DC6EC7" w:rsidRDefault="00DC6EC7"/>
          <w:p w:rsidR="00DC6EC7" w:rsidRDefault="00DC6EC7">
            <w:r>
              <w:t xml:space="preserve">Wider strategies </w:t>
            </w:r>
          </w:p>
          <w:p w:rsidR="00DC6EC7" w:rsidRDefault="00DC6EC7" w:rsidP="00DC6EC7">
            <w:pPr>
              <w:numPr>
                <w:ilvl w:val="0"/>
                <w:numId w:val="11"/>
              </w:numPr>
              <w:rPr>
                <w:color w:val="000000"/>
              </w:rPr>
            </w:pPr>
            <w:r>
              <w:rPr>
                <w:color w:val="000000"/>
              </w:rPr>
              <w:t xml:space="preserve">Supporting parent and carers </w:t>
            </w:r>
          </w:p>
          <w:p w:rsidR="00DC6EC7" w:rsidRDefault="00DC6EC7" w:rsidP="00DC6EC7">
            <w:pPr>
              <w:numPr>
                <w:ilvl w:val="0"/>
                <w:numId w:val="11"/>
              </w:numPr>
              <w:rPr>
                <w:color w:val="000000"/>
              </w:rPr>
            </w:pPr>
            <w:r>
              <w:rPr>
                <w:color w:val="000000"/>
              </w:rPr>
              <w:t xml:space="preserve">Access to technology </w:t>
            </w:r>
          </w:p>
          <w:p w:rsidR="00DC6EC7" w:rsidRDefault="00DC6EC7" w:rsidP="00DC6EC7">
            <w:pPr>
              <w:numPr>
                <w:ilvl w:val="0"/>
                <w:numId w:val="11"/>
              </w:numPr>
              <w:shd w:val="clear" w:color="auto" w:fill="FFFFFF"/>
              <w:rPr>
                <w:rFonts w:ascii="Arial" w:eastAsia="Arial" w:hAnsi="Arial" w:cs="Arial"/>
                <w:color w:val="0B0C0C"/>
                <w:sz w:val="29"/>
                <w:szCs w:val="29"/>
              </w:rPr>
            </w:pPr>
            <w:r>
              <w:rPr>
                <w:color w:val="000000"/>
              </w:rPr>
              <w:t>Summer support</w:t>
            </w:r>
          </w:p>
        </w:tc>
      </w:tr>
    </w:tbl>
    <w:p w:rsidR="00DC6EC7" w:rsidRDefault="00DC6EC7" w:rsidP="00DC6EC7">
      <w:pPr>
        <w:rPr>
          <w:sz w:val="16"/>
          <w:szCs w:val="16"/>
        </w:rPr>
      </w:pPr>
    </w:p>
    <w:tbl>
      <w:tblPr>
        <w:tblW w:w="15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4149"/>
      </w:tblGrid>
      <w:tr w:rsidR="00DC6EC7" w:rsidTr="00DC6EC7">
        <w:tc>
          <w:tcPr>
            <w:tcW w:w="15417" w:type="dxa"/>
            <w:gridSpan w:val="2"/>
            <w:tcBorders>
              <w:top w:val="single" w:sz="4" w:space="0" w:color="000000"/>
              <w:left w:val="single" w:sz="4" w:space="0" w:color="000000"/>
              <w:bottom w:val="single" w:sz="4" w:space="0" w:color="000000"/>
              <w:right w:val="single" w:sz="4" w:space="0" w:color="000000"/>
            </w:tcBorders>
            <w:shd w:val="clear" w:color="auto" w:fill="002060"/>
            <w:tcMar>
              <w:top w:w="57" w:type="dxa"/>
              <w:left w:w="108" w:type="dxa"/>
              <w:bottom w:w="57" w:type="dxa"/>
              <w:right w:w="108" w:type="dxa"/>
            </w:tcMar>
            <w:hideMark/>
          </w:tcPr>
          <w:p w:rsidR="00DC6EC7" w:rsidRDefault="00DC6EC7">
            <w:pPr>
              <w:rPr>
                <w:b/>
                <w:color w:val="FFFFFF"/>
                <w:sz w:val="24"/>
                <w:szCs w:val="24"/>
              </w:rPr>
            </w:pPr>
            <w:r>
              <w:rPr>
                <w:b/>
                <w:color w:val="FFFFFF"/>
                <w:sz w:val="24"/>
                <w:szCs w:val="24"/>
              </w:rPr>
              <w:t>Identified impact of lockdown</w:t>
            </w:r>
          </w:p>
        </w:tc>
      </w:tr>
      <w:tr w:rsidR="00DC6EC7" w:rsidTr="00DC6EC7">
        <w:tc>
          <w:tcPr>
            <w:tcW w:w="127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DC6EC7" w:rsidRDefault="00DC6EC7">
            <w:pPr>
              <w:tabs>
                <w:tab w:val="left" w:pos="75"/>
              </w:tabs>
              <w:rPr>
                <w:b/>
              </w:rPr>
            </w:pPr>
          </w:p>
          <w:p w:rsidR="00DC6EC7" w:rsidRDefault="00DC6EC7">
            <w:pPr>
              <w:tabs>
                <w:tab w:val="left" w:pos="75"/>
              </w:tabs>
              <w:rPr>
                <w:b/>
              </w:rPr>
            </w:pPr>
            <w:r>
              <w:rPr>
                <w:b/>
              </w:rPr>
              <w:t>Maths</w:t>
            </w:r>
          </w:p>
        </w:tc>
        <w:tc>
          <w:tcPr>
            <w:tcW w:w="14146" w:type="dxa"/>
            <w:tcBorders>
              <w:top w:val="single" w:sz="4" w:space="0" w:color="000000"/>
              <w:left w:val="single" w:sz="4" w:space="0" w:color="000000"/>
              <w:bottom w:val="single" w:sz="4" w:space="0" w:color="000000"/>
              <w:right w:val="single" w:sz="4" w:space="0" w:color="000000"/>
            </w:tcBorders>
          </w:tcPr>
          <w:p w:rsidR="00420BF0" w:rsidRDefault="00420BF0"/>
          <w:p w:rsidR="00DC6EC7" w:rsidRDefault="00DC6EC7">
            <w:r>
              <w:t xml:space="preserve">Specific content has been missed, leading to gaps in learning and stalled sequencing of journeys. Children still have an appetite for maths and lockdown has not affected their attitude </w:t>
            </w:r>
            <w:r w:rsidR="00F46932">
              <w:t>to learning</w:t>
            </w:r>
            <w:r>
              <w:t xml:space="preserve"> however they are quite simply, ‘behind’. </w:t>
            </w:r>
          </w:p>
          <w:p w:rsidR="00DC6EC7" w:rsidRDefault="00DC6EC7" w:rsidP="00420BF0">
            <w:r>
              <w:t xml:space="preserve">Recall of basic skills has suffered – </w:t>
            </w:r>
            <w:r w:rsidR="00420BF0">
              <w:t xml:space="preserve">many </w:t>
            </w:r>
            <w:r>
              <w:t xml:space="preserve">children are not able to recall addition facts, times tables and have forgotten once taught calculation strategies. </w:t>
            </w:r>
          </w:p>
          <w:p w:rsidR="00420BF0" w:rsidRDefault="00420BF0" w:rsidP="00420BF0"/>
        </w:tc>
      </w:tr>
      <w:tr w:rsidR="00DC6EC7" w:rsidTr="00DC6EC7">
        <w:tc>
          <w:tcPr>
            <w:tcW w:w="127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DC6EC7" w:rsidRDefault="00DC6EC7">
            <w:pPr>
              <w:tabs>
                <w:tab w:val="left" w:pos="75"/>
              </w:tabs>
              <w:rPr>
                <w:b/>
              </w:rPr>
            </w:pPr>
          </w:p>
          <w:p w:rsidR="00DC6EC7" w:rsidRDefault="00DC6EC7">
            <w:pPr>
              <w:tabs>
                <w:tab w:val="left" w:pos="75"/>
              </w:tabs>
              <w:rPr>
                <w:b/>
              </w:rPr>
            </w:pPr>
            <w:r>
              <w:rPr>
                <w:b/>
              </w:rPr>
              <w:t>Writing</w:t>
            </w:r>
          </w:p>
        </w:tc>
        <w:tc>
          <w:tcPr>
            <w:tcW w:w="14146" w:type="dxa"/>
            <w:tcBorders>
              <w:top w:val="single" w:sz="4" w:space="0" w:color="000000"/>
              <w:left w:val="single" w:sz="4" w:space="0" w:color="000000"/>
              <w:bottom w:val="single" w:sz="4" w:space="0" w:color="000000"/>
              <w:right w:val="single" w:sz="4" w:space="0" w:color="000000"/>
            </w:tcBorders>
          </w:tcPr>
          <w:p w:rsidR="00DC6EC7" w:rsidRDefault="00DC6EC7"/>
          <w:p w:rsidR="00DC6EC7" w:rsidRDefault="00DC6EC7">
            <w:r>
              <w:t>Children haven’t necessarily missed ‘units’ of learning in the same way as Maths, however they have lost essential practising of writing skills. GAPs specific knowledge has suffered, leading to lack of fluency in writing. Those who have maintained writing throughout lockdown are less affected, however those who evidently didn’t write much have had to work additionally hard on writing stamina and improving their motivation due to the lack of fluency in their ability to write.</w:t>
            </w:r>
          </w:p>
          <w:p w:rsidR="00DC6EC7" w:rsidRDefault="00DC6EC7"/>
        </w:tc>
      </w:tr>
      <w:tr w:rsidR="00DC6EC7" w:rsidTr="00DC6EC7">
        <w:tc>
          <w:tcPr>
            <w:tcW w:w="127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DC6EC7" w:rsidRDefault="00DC6EC7">
            <w:pPr>
              <w:tabs>
                <w:tab w:val="left" w:pos="75"/>
              </w:tabs>
              <w:rPr>
                <w:b/>
              </w:rPr>
            </w:pPr>
          </w:p>
          <w:p w:rsidR="00DC6EC7" w:rsidRDefault="00DC6EC7">
            <w:pPr>
              <w:tabs>
                <w:tab w:val="left" w:pos="75"/>
              </w:tabs>
              <w:rPr>
                <w:b/>
              </w:rPr>
            </w:pPr>
            <w:r>
              <w:rPr>
                <w:b/>
              </w:rPr>
              <w:t>Reading</w:t>
            </w:r>
          </w:p>
        </w:tc>
        <w:tc>
          <w:tcPr>
            <w:tcW w:w="14146" w:type="dxa"/>
            <w:tcBorders>
              <w:top w:val="single" w:sz="4" w:space="0" w:color="000000"/>
              <w:left w:val="single" w:sz="4" w:space="0" w:color="000000"/>
              <w:bottom w:val="single" w:sz="4" w:space="0" w:color="000000"/>
              <w:right w:val="single" w:sz="4" w:space="0" w:color="000000"/>
            </w:tcBorders>
          </w:tcPr>
          <w:p w:rsidR="00DC6EC7" w:rsidRDefault="00DC6EC7"/>
          <w:p w:rsidR="00DC6EC7" w:rsidRDefault="00DC6EC7">
            <w:r>
              <w:t>Children accessed reading during lockdown more than any other subject. This is something that was more accessible for families and required less teacher input. However, children are less fluent and reduced stamina in their reading and the gap between those children that read widely and those children who don’t is now increasingly wide. The bottom 20% of readers have been disproportionately affected.</w:t>
            </w:r>
          </w:p>
          <w:p w:rsidR="00DC6EC7" w:rsidRDefault="00DC6EC7"/>
        </w:tc>
      </w:tr>
      <w:tr w:rsidR="00DC6EC7" w:rsidTr="00DC6EC7">
        <w:tc>
          <w:tcPr>
            <w:tcW w:w="127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DC6EC7" w:rsidRDefault="00DC6EC7">
            <w:pPr>
              <w:tabs>
                <w:tab w:val="left" w:pos="75"/>
              </w:tabs>
              <w:rPr>
                <w:b/>
              </w:rPr>
            </w:pPr>
          </w:p>
          <w:p w:rsidR="00DC6EC7" w:rsidRDefault="00DC6EC7">
            <w:pPr>
              <w:tabs>
                <w:tab w:val="left" w:pos="75"/>
              </w:tabs>
              <w:rPr>
                <w:b/>
              </w:rPr>
            </w:pPr>
            <w:r>
              <w:rPr>
                <w:b/>
              </w:rPr>
              <w:t>Non-core</w:t>
            </w:r>
          </w:p>
        </w:tc>
        <w:tc>
          <w:tcPr>
            <w:tcW w:w="14146" w:type="dxa"/>
            <w:tcBorders>
              <w:top w:val="single" w:sz="4" w:space="0" w:color="000000"/>
              <w:left w:val="single" w:sz="4" w:space="0" w:color="000000"/>
              <w:bottom w:val="single" w:sz="4" w:space="0" w:color="000000"/>
              <w:right w:val="single" w:sz="4" w:space="0" w:color="000000"/>
            </w:tcBorders>
          </w:tcPr>
          <w:p w:rsidR="00DC6EC7" w:rsidRDefault="00DC6EC7"/>
          <w:p w:rsidR="00DC6EC7" w:rsidRDefault="00DC6EC7">
            <w:r>
              <w:t>There are now significant gaps in knowledge – whole units of work have not been taught meaning that children are less able to access pre-requisite knowledge when learning something new and they are less likely to make connections between concepts and themes throughout the curriculum. Children have also missed out on the curriculum experiences e.g. trips, visitors and powerful curriculum moments.</w:t>
            </w:r>
          </w:p>
          <w:p w:rsidR="00DC6EC7" w:rsidRDefault="00DC6EC7"/>
        </w:tc>
      </w:tr>
    </w:tbl>
    <w:p w:rsidR="00DC6EC7" w:rsidRDefault="00DC6EC7" w:rsidP="00DC6EC7">
      <w:r>
        <w:br w:type="page"/>
      </w:r>
    </w:p>
    <w:p w:rsidR="00BD2E6B" w:rsidRDefault="00BD2E6B"/>
    <w:tbl>
      <w:tblPr>
        <w:tblW w:w="15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2"/>
        <w:gridCol w:w="4959"/>
        <w:gridCol w:w="3077"/>
        <w:gridCol w:w="1094"/>
        <w:gridCol w:w="1178"/>
      </w:tblGrid>
      <w:tr w:rsidR="00CD700E" w:rsidTr="00CD700E">
        <w:tc>
          <w:tcPr>
            <w:tcW w:w="15120" w:type="dxa"/>
            <w:gridSpan w:val="5"/>
            <w:tcBorders>
              <w:top w:val="single" w:sz="4" w:space="0" w:color="000000"/>
              <w:left w:val="single" w:sz="4" w:space="0" w:color="000000"/>
              <w:bottom w:val="single" w:sz="4" w:space="0" w:color="000000"/>
              <w:right w:val="single" w:sz="4" w:space="0" w:color="000000"/>
            </w:tcBorders>
            <w:shd w:val="clear" w:color="auto" w:fill="002060"/>
            <w:tcMar>
              <w:top w:w="57" w:type="dxa"/>
              <w:left w:w="108" w:type="dxa"/>
              <w:bottom w:w="57" w:type="dxa"/>
              <w:right w:w="108" w:type="dxa"/>
            </w:tcMar>
            <w:hideMark/>
          </w:tcPr>
          <w:p w:rsidR="00CD700E" w:rsidRDefault="00CD700E">
            <w:pPr>
              <w:rPr>
                <w:color w:val="FFFFFF"/>
                <w:sz w:val="20"/>
                <w:szCs w:val="20"/>
              </w:rPr>
            </w:pPr>
            <w:r>
              <w:rPr>
                <w:b/>
                <w:color w:val="FFFFFF"/>
              </w:rPr>
              <w:t xml:space="preserve">Planned expenditure - </w:t>
            </w:r>
            <w:r>
              <w:rPr>
                <w:color w:val="FFFFFF"/>
                <w:sz w:val="20"/>
                <w:szCs w:val="20"/>
              </w:rPr>
              <w:t>The headings below are grouped into the categories outlined in the Education Endowment Foundation’s coronavirus support guide for schools)</w:t>
            </w:r>
          </w:p>
        </w:tc>
      </w:tr>
      <w:tr w:rsidR="00CD700E" w:rsidTr="00CD700E">
        <w:tc>
          <w:tcPr>
            <w:tcW w:w="15120" w:type="dxa"/>
            <w:gridSpan w:val="5"/>
            <w:tcBorders>
              <w:top w:val="single" w:sz="4" w:space="0" w:color="000000"/>
              <w:left w:val="single" w:sz="4" w:space="0" w:color="000000"/>
              <w:bottom w:val="single" w:sz="4" w:space="0" w:color="000000"/>
              <w:right w:val="single" w:sz="4" w:space="0" w:color="000000"/>
            </w:tcBorders>
            <w:shd w:val="clear" w:color="auto" w:fill="D9D9D9"/>
            <w:tcMar>
              <w:top w:w="57" w:type="dxa"/>
              <w:left w:w="108" w:type="dxa"/>
              <w:bottom w:w="57" w:type="dxa"/>
              <w:right w:w="108" w:type="dxa"/>
            </w:tcMar>
            <w:hideMark/>
          </w:tcPr>
          <w:p w:rsidR="00CD700E" w:rsidRDefault="00CD700E" w:rsidP="00CD700E">
            <w:pPr>
              <w:numPr>
                <w:ilvl w:val="0"/>
                <w:numId w:val="12"/>
              </w:numPr>
              <w:ind w:left="426" w:hanging="142"/>
              <w:rPr>
                <w:b/>
                <w:color w:val="000000"/>
                <w:sz w:val="20"/>
                <w:szCs w:val="20"/>
              </w:rPr>
            </w:pPr>
            <w:r>
              <w:rPr>
                <w:b/>
                <w:color w:val="000000"/>
                <w:sz w:val="20"/>
                <w:szCs w:val="20"/>
              </w:rPr>
              <w:t>Teaching and whole-school strategies</w:t>
            </w:r>
          </w:p>
        </w:tc>
      </w:tr>
      <w:tr w:rsidR="00CD700E" w:rsidTr="00CD700E">
        <w:trPr>
          <w:trHeight w:val="289"/>
        </w:trPr>
        <w:tc>
          <w:tcPr>
            <w:tcW w:w="481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CD700E" w:rsidRDefault="00CD700E">
            <w:pPr>
              <w:rPr>
                <w:b/>
                <w:sz w:val="20"/>
                <w:szCs w:val="20"/>
              </w:rPr>
            </w:pPr>
            <w:r>
              <w:rPr>
                <w:b/>
                <w:sz w:val="20"/>
                <w:szCs w:val="20"/>
              </w:rPr>
              <w:t>Desired outcome</w:t>
            </w:r>
          </w:p>
        </w:tc>
        <w:tc>
          <w:tcPr>
            <w:tcW w:w="495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CD700E" w:rsidRDefault="00CD700E">
            <w:pPr>
              <w:rPr>
                <w:b/>
                <w:sz w:val="20"/>
                <w:szCs w:val="20"/>
              </w:rPr>
            </w:pPr>
            <w:r>
              <w:rPr>
                <w:b/>
                <w:sz w:val="20"/>
                <w:szCs w:val="20"/>
              </w:rPr>
              <w:t>Chosen approach and anticipated cost</w:t>
            </w:r>
          </w:p>
        </w:tc>
        <w:tc>
          <w:tcPr>
            <w:tcW w:w="307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CD700E" w:rsidRDefault="00CD700E">
            <w:pPr>
              <w:rPr>
                <w:b/>
                <w:sz w:val="20"/>
                <w:szCs w:val="20"/>
              </w:rPr>
            </w:pPr>
            <w:r>
              <w:rPr>
                <w:b/>
                <w:sz w:val="20"/>
                <w:szCs w:val="20"/>
              </w:rPr>
              <w:t>Impact (once reviewed)</w:t>
            </w:r>
          </w:p>
        </w:tc>
        <w:tc>
          <w:tcPr>
            <w:tcW w:w="109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CD700E" w:rsidRDefault="00CD700E">
            <w:pPr>
              <w:rPr>
                <w:b/>
                <w:sz w:val="20"/>
                <w:szCs w:val="20"/>
              </w:rPr>
            </w:pPr>
            <w:r>
              <w:rPr>
                <w:b/>
                <w:sz w:val="20"/>
                <w:szCs w:val="20"/>
              </w:rPr>
              <w:t>Staff lead</w:t>
            </w:r>
          </w:p>
        </w:tc>
        <w:tc>
          <w:tcPr>
            <w:tcW w:w="1178" w:type="dxa"/>
            <w:tcBorders>
              <w:top w:val="single" w:sz="4" w:space="0" w:color="000000"/>
              <w:left w:val="single" w:sz="4" w:space="0" w:color="000000"/>
              <w:bottom w:val="single" w:sz="4" w:space="0" w:color="000000"/>
              <w:right w:val="single" w:sz="4" w:space="0" w:color="000000"/>
            </w:tcBorders>
            <w:hideMark/>
          </w:tcPr>
          <w:p w:rsidR="00CD700E" w:rsidRDefault="00CD700E">
            <w:pPr>
              <w:rPr>
                <w:b/>
                <w:sz w:val="20"/>
                <w:szCs w:val="20"/>
              </w:rPr>
            </w:pPr>
            <w:r>
              <w:rPr>
                <w:b/>
                <w:sz w:val="20"/>
                <w:szCs w:val="20"/>
              </w:rPr>
              <w:t>Review date</w:t>
            </w:r>
          </w:p>
        </w:tc>
      </w:tr>
      <w:tr w:rsidR="00CD700E" w:rsidTr="00CD700E">
        <w:tc>
          <w:tcPr>
            <w:tcW w:w="481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CD700E" w:rsidRDefault="00CD700E" w:rsidP="00CD700E">
            <w:pPr>
              <w:pBdr>
                <w:top w:val="nil"/>
                <w:left w:val="nil"/>
                <w:bottom w:val="nil"/>
                <w:right w:val="nil"/>
                <w:between w:val="nil"/>
              </w:pBdr>
              <w:rPr>
                <w:b/>
                <w:sz w:val="20"/>
                <w:szCs w:val="20"/>
                <w:u w:val="single"/>
              </w:rPr>
            </w:pPr>
            <w:r>
              <w:rPr>
                <w:b/>
                <w:sz w:val="20"/>
                <w:szCs w:val="20"/>
                <w:u w:val="single"/>
              </w:rPr>
              <w:t xml:space="preserve">High-Quality Cover </w:t>
            </w:r>
          </w:p>
          <w:p w:rsidR="00CD700E" w:rsidRDefault="00CD700E" w:rsidP="00CD700E">
            <w:pPr>
              <w:pBdr>
                <w:top w:val="nil"/>
                <w:left w:val="nil"/>
                <w:bottom w:val="nil"/>
                <w:right w:val="nil"/>
                <w:between w:val="nil"/>
              </w:pBdr>
              <w:rPr>
                <w:b/>
                <w:sz w:val="20"/>
                <w:szCs w:val="20"/>
                <w:u w:val="single"/>
              </w:rPr>
            </w:pPr>
          </w:p>
          <w:p w:rsidR="00CD700E" w:rsidRPr="002D1B67" w:rsidRDefault="00CD700E" w:rsidP="00CD700E">
            <w:pPr>
              <w:pBdr>
                <w:top w:val="nil"/>
                <w:left w:val="nil"/>
                <w:bottom w:val="nil"/>
                <w:right w:val="nil"/>
                <w:between w:val="nil"/>
              </w:pBdr>
              <w:rPr>
                <w:b/>
                <w:sz w:val="20"/>
                <w:szCs w:val="20"/>
              </w:rPr>
            </w:pPr>
            <w:r>
              <w:rPr>
                <w:b/>
                <w:sz w:val="20"/>
                <w:szCs w:val="20"/>
              </w:rPr>
              <w:t xml:space="preserve">Due to the unpredictable nature of staff absence due to the pandemic, we need to ensure children have access to high-quality cover if their own class teacher is in self-isolation.  </w:t>
            </w:r>
          </w:p>
        </w:tc>
        <w:tc>
          <w:tcPr>
            <w:tcW w:w="495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CD700E" w:rsidRPr="00CD700E" w:rsidRDefault="00CD700E" w:rsidP="00CD700E">
            <w:pPr>
              <w:pBdr>
                <w:top w:val="nil"/>
                <w:left w:val="nil"/>
                <w:bottom w:val="nil"/>
                <w:right w:val="nil"/>
                <w:between w:val="nil"/>
              </w:pBdr>
              <w:rPr>
                <w:sz w:val="20"/>
                <w:szCs w:val="20"/>
              </w:rPr>
            </w:pPr>
          </w:p>
          <w:p w:rsidR="00CD700E" w:rsidRPr="00CD700E" w:rsidRDefault="00CD700E" w:rsidP="00CD700E">
            <w:pPr>
              <w:pBdr>
                <w:top w:val="nil"/>
                <w:left w:val="nil"/>
                <w:bottom w:val="nil"/>
                <w:right w:val="nil"/>
                <w:between w:val="nil"/>
              </w:pBdr>
              <w:rPr>
                <w:sz w:val="20"/>
                <w:szCs w:val="20"/>
              </w:rPr>
            </w:pPr>
            <w:proofErr w:type="spellStart"/>
            <w:r w:rsidRPr="00CD700E">
              <w:rPr>
                <w:sz w:val="20"/>
                <w:szCs w:val="20"/>
              </w:rPr>
              <w:t>Lancasterian</w:t>
            </w:r>
            <w:proofErr w:type="spellEnd"/>
            <w:r w:rsidRPr="00CD700E">
              <w:rPr>
                <w:sz w:val="20"/>
                <w:szCs w:val="20"/>
              </w:rPr>
              <w:t xml:space="preserve"> has experienced 2 COVID related long term sicknesses in teaching staff.  </w:t>
            </w:r>
            <w:r>
              <w:rPr>
                <w:sz w:val="20"/>
                <w:szCs w:val="20"/>
              </w:rPr>
              <w:t>We have covered this through the employment of consistent, long-term supply teachers to ensure children are receiving high-quality education.</w:t>
            </w:r>
            <w:r w:rsidRPr="00CD700E">
              <w:rPr>
                <w:sz w:val="20"/>
                <w:szCs w:val="20"/>
              </w:rPr>
              <w:t xml:space="preserve"> The</w:t>
            </w:r>
            <w:r>
              <w:rPr>
                <w:sz w:val="20"/>
                <w:szCs w:val="20"/>
              </w:rPr>
              <w:t xml:space="preserve"> supply teachers </w:t>
            </w:r>
            <w:r w:rsidRPr="00CD700E">
              <w:rPr>
                <w:sz w:val="20"/>
                <w:szCs w:val="20"/>
              </w:rPr>
              <w:t>have a good understanding of the curriculum, routines and children</w:t>
            </w:r>
            <w:r>
              <w:rPr>
                <w:sz w:val="20"/>
                <w:szCs w:val="20"/>
              </w:rPr>
              <w:t xml:space="preserve"> as they are on a longer-term contract</w:t>
            </w:r>
            <w:r w:rsidRPr="00CD700E">
              <w:rPr>
                <w:sz w:val="20"/>
                <w:szCs w:val="20"/>
              </w:rPr>
              <w:t>.</w:t>
            </w:r>
          </w:p>
          <w:p w:rsidR="00CD700E" w:rsidRPr="00CD700E" w:rsidRDefault="00CD700E" w:rsidP="00CD700E">
            <w:pPr>
              <w:pBdr>
                <w:top w:val="nil"/>
                <w:left w:val="nil"/>
                <w:bottom w:val="nil"/>
                <w:right w:val="nil"/>
                <w:between w:val="nil"/>
              </w:pBdr>
              <w:rPr>
                <w:sz w:val="20"/>
                <w:szCs w:val="20"/>
              </w:rPr>
            </w:pPr>
          </w:p>
          <w:p w:rsidR="00CD700E" w:rsidRPr="00CD700E" w:rsidRDefault="00CD700E" w:rsidP="00CD700E">
            <w:pPr>
              <w:pBdr>
                <w:top w:val="nil"/>
                <w:left w:val="nil"/>
                <w:bottom w:val="nil"/>
                <w:right w:val="nil"/>
                <w:between w:val="nil"/>
              </w:pBdr>
              <w:jc w:val="right"/>
              <w:rPr>
                <w:sz w:val="20"/>
                <w:szCs w:val="20"/>
              </w:rPr>
            </w:pPr>
            <w:r w:rsidRPr="00CD700E">
              <w:rPr>
                <w:color w:val="FF0000"/>
                <w:sz w:val="20"/>
                <w:szCs w:val="20"/>
              </w:rPr>
              <w:t>(£</w:t>
            </w:r>
            <w:r w:rsidR="003870DA">
              <w:rPr>
                <w:color w:val="FF0000"/>
                <w:sz w:val="20"/>
                <w:szCs w:val="20"/>
              </w:rPr>
              <w:t>3,194.96</w:t>
            </w:r>
            <w:r w:rsidRPr="00CD700E">
              <w:rPr>
                <w:color w:val="FF0000"/>
                <w:sz w:val="20"/>
                <w:szCs w:val="20"/>
              </w:rPr>
              <w:t>)</w:t>
            </w:r>
          </w:p>
        </w:tc>
        <w:tc>
          <w:tcPr>
            <w:tcW w:w="307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CD700E" w:rsidRDefault="00CD700E" w:rsidP="00CD700E">
            <w:pPr>
              <w:rPr>
                <w:sz w:val="20"/>
                <w:szCs w:val="20"/>
              </w:rPr>
            </w:pPr>
          </w:p>
        </w:tc>
        <w:tc>
          <w:tcPr>
            <w:tcW w:w="109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CD700E" w:rsidRDefault="00CD700E" w:rsidP="00CD700E">
            <w:pPr>
              <w:rPr>
                <w:sz w:val="20"/>
                <w:szCs w:val="20"/>
              </w:rPr>
            </w:pPr>
            <w:r>
              <w:rPr>
                <w:sz w:val="20"/>
                <w:szCs w:val="20"/>
              </w:rPr>
              <w:t>SLT</w:t>
            </w:r>
          </w:p>
        </w:tc>
        <w:tc>
          <w:tcPr>
            <w:tcW w:w="1178" w:type="dxa"/>
            <w:tcBorders>
              <w:top w:val="single" w:sz="4" w:space="0" w:color="000000"/>
              <w:left w:val="single" w:sz="4" w:space="0" w:color="000000"/>
              <w:bottom w:val="single" w:sz="4" w:space="0" w:color="000000"/>
              <w:right w:val="single" w:sz="4" w:space="0" w:color="000000"/>
            </w:tcBorders>
          </w:tcPr>
          <w:p w:rsidR="00CD700E" w:rsidRDefault="00CD700E" w:rsidP="00CD700E">
            <w:pPr>
              <w:rPr>
                <w:sz w:val="20"/>
                <w:szCs w:val="20"/>
              </w:rPr>
            </w:pPr>
            <w:r>
              <w:rPr>
                <w:sz w:val="20"/>
                <w:szCs w:val="20"/>
              </w:rPr>
              <w:t>Ongoing</w:t>
            </w:r>
          </w:p>
        </w:tc>
      </w:tr>
      <w:tr w:rsidR="00CD700E" w:rsidTr="00CD700E">
        <w:tc>
          <w:tcPr>
            <w:tcW w:w="481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CD700E" w:rsidRPr="00CD700E" w:rsidRDefault="00CD700E" w:rsidP="00CD700E">
            <w:pPr>
              <w:rPr>
                <w:b/>
                <w:color w:val="000000"/>
                <w:sz w:val="20"/>
                <w:szCs w:val="20"/>
                <w:u w:val="single"/>
              </w:rPr>
            </w:pPr>
            <w:r w:rsidRPr="00CD700E">
              <w:rPr>
                <w:b/>
                <w:color w:val="000000"/>
                <w:sz w:val="20"/>
                <w:szCs w:val="20"/>
                <w:u w:val="single"/>
              </w:rPr>
              <w:t>Teaching assessment and feedback</w:t>
            </w:r>
          </w:p>
          <w:p w:rsidR="00CD700E" w:rsidRPr="00CD700E" w:rsidRDefault="00CD700E" w:rsidP="00CD700E">
            <w:pPr>
              <w:rPr>
                <w:b/>
                <w:color w:val="000000"/>
                <w:sz w:val="20"/>
                <w:szCs w:val="20"/>
              </w:rPr>
            </w:pPr>
          </w:p>
          <w:p w:rsidR="00CD700E" w:rsidRPr="00CD700E" w:rsidRDefault="00CD700E" w:rsidP="00CD700E">
            <w:pPr>
              <w:rPr>
                <w:b/>
                <w:color w:val="000000"/>
                <w:sz w:val="20"/>
                <w:szCs w:val="20"/>
              </w:rPr>
            </w:pPr>
            <w:r w:rsidRPr="00CD700E">
              <w:rPr>
                <w:b/>
                <w:color w:val="000000"/>
                <w:sz w:val="20"/>
                <w:szCs w:val="20"/>
              </w:rPr>
              <w:t xml:space="preserve">Teachers have a very clear understanding of what gaps in learning remain and use this to inform assessments of learning that are aligned with standardised norms, giving a greater degree in confidence and accuracy of assessments. </w:t>
            </w:r>
          </w:p>
          <w:p w:rsidR="00CD700E" w:rsidRDefault="00CD700E" w:rsidP="00CD700E">
            <w:pPr>
              <w:rPr>
                <w:color w:val="000000"/>
                <w:sz w:val="20"/>
                <w:szCs w:val="20"/>
                <w:highlight w:val="yellow"/>
              </w:rPr>
            </w:pPr>
          </w:p>
        </w:tc>
        <w:tc>
          <w:tcPr>
            <w:tcW w:w="495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CD700E" w:rsidRDefault="00CD700E" w:rsidP="00CD700E">
            <w:pPr>
              <w:rPr>
                <w:color w:val="000000"/>
                <w:sz w:val="20"/>
                <w:szCs w:val="20"/>
              </w:rPr>
            </w:pPr>
          </w:p>
          <w:p w:rsidR="00CD700E" w:rsidRDefault="00CD700E" w:rsidP="00CD700E">
            <w:pPr>
              <w:rPr>
                <w:color w:val="000000"/>
                <w:sz w:val="20"/>
                <w:szCs w:val="20"/>
              </w:rPr>
            </w:pPr>
          </w:p>
          <w:p w:rsidR="00CD700E" w:rsidRDefault="00CD700E" w:rsidP="00CD700E">
            <w:pPr>
              <w:rPr>
                <w:b/>
                <w:i/>
                <w:color w:val="000000"/>
                <w:sz w:val="20"/>
                <w:szCs w:val="20"/>
              </w:rPr>
            </w:pPr>
            <w:r>
              <w:rPr>
                <w:b/>
                <w:i/>
                <w:color w:val="000000"/>
                <w:sz w:val="20"/>
                <w:szCs w:val="20"/>
              </w:rPr>
              <w:t xml:space="preserve">Purchase and implement White Rose Maths Recovery Curriculum and use the tests from this scheme which directly link to the </w:t>
            </w:r>
            <w:proofErr w:type="gramStart"/>
            <w:r>
              <w:rPr>
                <w:b/>
                <w:i/>
                <w:color w:val="000000"/>
                <w:sz w:val="20"/>
                <w:szCs w:val="20"/>
              </w:rPr>
              <w:t>units</w:t>
            </w:r>
            <w:proofErr w:type="gramEnd"/>
            <w:r>
              <w:rPr>
                <w:b/>
                <w:i/>
                <w:color w:val="000000"/>
                <w:sz w:val="20"/>
                <w:szCs w:val="20"/>
              </w:rPr>
              <w:t xml:space="preserve"> teachers have been covering.</w:t>
            </w:r>
          </w:p>
          <w:p w:rsidR="00CD700E" w:rsidRDefault="00CD700E" w:rsidP="00CD700E">
            <w:pPr>
              <w:rPr>
                <w:b/>
                <w:i/>
                <w:color w:val="000000"/>
                <w:sz w:val="20"/>
                <w:szCs w:val="20"/>
              </w:rPr>
            </w:pPr>
          </w:p>
          <w:p w:rsidR="00CD700E" w:rsidRPr="003870DA" w:rsidRDefault="00CD700E" w:rsidP="00CD700E">
            <w:pPr>
              <w:jc w:val="right"/>
              <w:rPr>
                <w:color w:val="FF0000"/>
                <w:sz w:val="20"/>
                <w:szCs w:val="20"/>
              </w:rPr>
            </w:pPr>
            <w:r w:rsidRPr="003870DA">
              <w:rPr>
                <w:color w:val="FF0000"/>
                <w:sz w:val="20"/>
                <w:szCs w:val="20"/>
              </w:rPr>
              <w:t>(£100)</w:t>
            </w:r>
          </w:p>
          <w:p w:rsidR="00CD700E" w:rsidRDefault="00CD700E" w:rsidP="00CD700E">
            <w:pPr>
              <w:jc w:val="right"/>
              <w:rPr>
                <w:color w:val="000000"/>
                <w:sz w:val="20"/>
                <w:szCs w:val="20"/>
              </w:rPr>
            </w:pPr>
          </w:p>
        </w:tc>
        <w:tc>
          <w:tcPr>
            <w:tcW w:w="307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CD700E" w:rsidRDefault="00CD700E" w:rsidP="00CD700E">
            <w:pPr>
              <w:rPr>
                <w:sz w:val="20"/>
                <w:szCs w:val="20"/>
              </w:rPr>
            </w:pPr>
          </w:p>
        </w:tc>
        <w:tc>
          <w:tcPr>
            <w:tcW w:w="109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CD700E" w:rsidRDefault="00CD700E" w:rsidP="00CD700E">
            <w:pPr>
              <w:rPr>
                <w:sz w:val="20"/>
                <w:szCs w:val="20"/>
              </w:rPr>
            </w:pPr>
            <w:r>
              <w:rPr>
                <w:sz w:val="20"/>
                <w:szCs w:val="20"/>
              </w:rPr>
              <w:t xml:space="preserve">Maths Lead </w:t>
            </w:r>
          </w:p>
        </w:tc>
        <w:tc>
          <w:tcPr>
            <w:tcW w:w="1178" w:type="dxa"/>
            <w:tcBorders>
              <w:top w:val="single" w:sz="4" w:space="0" w:color="000000"/>
              <w:left w:val="single" w:sz="4" w:space="0" w:color="000000"/>
              <w:bottom w:val="single" w:sz="4" w:space="0" w:color="000000"/>
              <w:right w:val="single" w:sz="4" w:space="0" w:color="000000"/>
            </w:tcBorders>
          </w:tcPr>
          <w:p w:rsidR="00CD700E" w:rsidRDefault="00CD700E" w:rsidP="00CD700E">
            <w:pPr>
              <w:rPr>
                <w:sz w:val="20"/>
                <w:szCs w:val="20"/>
              </w:rPr>
            </w:pPr>
            <w:r>
              <w:rPr>
                <w:sz w:val="20"/>
                <w:szCs w:val="20"/>
              </w:rPr>
              <w:t>Summer 2021</w:t>
            </w:r>
          </w:p>
        </w:tc>
      </w:tr>
      <w:tr w:rsidR="00CD700E" w:rsidTr="00CD700E">
        <w:trPr>
          <w:trHeight w:val="387"/>
        </w:trPr>
        <w:tc>
          <w:tcPr>
            <w:tcW w:w="13942" w:type="dxa"/>
            <w:gridSpan w:val="4"/>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CD700E" w:rsidRDefault="00CD700E" w:rsidP="00CD700E">
            <w:pPr>
              <w:jc w:val="right"/>
              <w:rPr>
                <w:color w:val="FF0000"/>
                <w:sz w:val="20"/>
                <w:szCs w:val="20"/>
              </w:rPr>
            </w:pPr>
            <w:r>
              <w:rPr>
                <w:b/>
                <w:color w:val="FF0000"/>
                <w:sz w:val="20"/>
                <w:szCs w:val="20"/>
              </w:rPr>
              <w:t>Total budgeted cost</w:t>
            </w:r>
          </w:p>
        </w:tc>
        <w:tc>
          <w:tcPr>
            <w:tcW w:w="1178" w:type="dxa"/>
            <w:tcBorders>
              <w:top w:val="single" w:sz="4" w:space="0" w:color="000000"/>
              <w:left w:val="single" w:sz="4" w:space="0" w:color="000000"/>
              <w:bottom w:val="single" w:sz="4" w:space="0" w:color="000000"/>
              <w:right w:val="single" w:sz="4" w:space="0" w:color="000000"/>
            </w:tcBorders>
          </w:tcPr>
          <w:p w:rsidR="00CD700E" w:rsidRDefault="003870DA" w:rsidP="00CD700E">
            <w:pPr>
              <w:rPr>
                <w:b/>
                <w:color w:val="FF0000"/>
                <w:sz w:val="20"/>
                <w:szCs w:val="20"/>
              </w:rPr>
            </w:pPr>
            <w:r>
              <w:rPr>
                <w:b/>
                <w:color w:val="FF0000"/>
                <w:sz w:val="20"/>
                <w:szCs w:val="20"/>
              </w:rPr>
              <w:t>£3,294.96</w:t>
            </w:r>
          </w:p>
        </w:tc>
      </w:tr>
    </w:tbl>
    <w:p w:rsidR="00DC6EC7" w:rsidRDefault="00DC6EC7"/>
    <w:p w:rsidR="00BD2E6B" w:rsidRDefault="00BD2E6B">
      <w:pPr>
        <w:rPr>
          <w:sz w:val="18"/>
          <w:szCs w:val="18"/>
        </w:rPr>
      </w:pPr>
    </w:p>
    <w:tbl>
      <w:tblPr>
        <w:tblW w:w="15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2"/>
        <w:gridCol w:w="4959"/>
        <w:gridCol w:w="3077"/>
        <w:gridCol w:w="1094"/>
        <w:gridCol w:w="1178"/>
      </w:tblGrid>
      <w:tr w:rsidR="00943FCD" w:rsidTr="00CD700E">
        <w:tc>
          <w:tcPr>
            <w:tcW w:w="15120" w:type="dxa"/>
            <w:gridSpan w:val="5"/>
            <w:tcBorders>
              <w:top w:val="single" w:sz="4" w:space="0" w:color="000000"/>
              <w:left w:val="single" w:sz="4" w:space="0" w:color="000000"/>
              <w:bottom w:val="single" w:sz="4" w:space="0" w:color="000000"/>
              <w:right w:val="single" w:sz="4" w:space="0" w:color="000000"/>
            </w:tcBorders>
            <w:shd w:val="clear" w:color="auto" w:fill="D9D9D9"/>
            <w:tcMar>
              <w:top w:w="57" w:type="dxa"/>
              <w:left w:w="108" w:type="dxa"/>
              <w:bottom w:w="57" w:type="dxa"/>
              <w:right w:w="108" w:type="dxa"/>
            </w:tcMar>
            <w:hideMark/>
          </w:tcPr>
          <w:p w:rsidR="00943FCD" w:rsidRPr="00CD700E" w:rsidRDefault="00943FCD" w:rsidP="00CD700E">
            <w:pPr>
              <w:pStyle w:val="ListParagraph"/>
              <w:numPr>
                <w:ilvl w:val="0"/>
                <w:numId w:val="12"/>
              </w:numPr>
              <w:rPr>
                <w:b/>
                <w:color w:val="000000"/>
                <w:sz w:val="20"/>
                <w:szCs w:val="20"/>
              </w:rPr>
            </w:pPr>
            <w:r w:rsidRPr="00CD700E">
              <w:rPr>
                <w:b/>
                <w:color w:val="000000"/>
                <w:sz w:val="20"/>
                <w:szCs w:val="20"/>
              </w:rPr>
              <w:t>Targeted approaches</w:t>
            </w:r>
          </w:p>
        </w:tc>
      </w:tr>
      <w:tr w:rsidR="00943FCD" w:rsidTr="00CD700E">
        <w:trPr>
          <w:trHeight w:val="289"/>
        </w:trPr>
        <w:tc>
          <w:tcPr>
            <w:tcW w:w="481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943FCD" w:rsidRDefault="00943FCD">
            <w:pPr>
              <w:rPr>
                <w:b/>
                <w:sz w:val="20"/>
                <w:szCs w:val="20"/>
              </w:rPr>
            </w:pPr>
            <w:r>
              <w:rPr>
                <w:b/>
                <w:sz w:val="20"/>
                <w:szCs w:val="20"/>
              </w:rPr>
              <w:t>Desired outcome</w:t>
            </w:r>
          </w:p>
        </w:tc>
        <w:tc>
          <w:tcPr>
            <w:tcW w:w="495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943FCD" w:rsidRDefault="00943FCD">
            <w:pPr>
              <w:rPr>
                <w:b/>
                <w:sz w:val="20"/>
                <w:szCs w:val="20"/>
              </w:rPr>
            </w:pPr>
            <w:r>
              <w:rPr>
                <w:b/>
                <w:sz w:val="20"/>
                <w:szCs w:val="20"/>
              </w:rPr>
              <w:t>Chosen approach and anticipated cost</w:t>
            </w:r>
          </w:p>
        </w:tc>
        <w:tc>
          <w:tcPr>
            <w:tcW w:w="307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943FCD" w:rsidRDefault="00943FCD">
            <w:pPr>
              <w:rPr>
                <w:b/>
                <w:sz w:val="20"/>
                <w:szCs w:val="20"/>
              </w:rPr>
            </w:pPr>
            <w:r>
              <w:rPr>
                <w:b/>
                <w:sz w:val="20"/>
                <w:szCs w:val="20"/>
              </w:rPr>
              <w:t>Impact (once reviewed)</w:t>
            </w:r>
          </w:p>
        </w:tc>
        <w:tc>
          <w:tcPr>
            <w:tcW w:w="109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943FCD" w:rsidRDefault="00943FCD">
            <w:pPr>
              <w:rPr>
                <w:b/>
                <w:sz w:val="20"/>
                <w:szCs w:val="20"/>
              </w:rPr>
            </w:pPr>
            <w:r>
              <w:rPr>
                <w:b/>
                <w:sz w:val="20"/>
                <w:szCs w:val="20"/>
              </w:rPr>
              <w:t>Staff lead</w:t>
            </w:r>
          </w:p>
        </w:tc>
        <w:tc>
          <w:tcPr>
            <w:tcW w:w="1178" w:type="dxa"/>
            <w:tcBorders>
              <w:top w:val="single" w:sz="4" w:space="0" w:color="000000"/>
              <w:left w:val="single" w:sz="4" w:space="0" w:color="000000"/>
              <w:bottom w:val="single" w:sz="4" w:space="0" w:color="000000"/>
              <w:right w:val="single" w:sz="4" w:space="0" w:color="000000"/>
            </w:tcBorders>
            <w:hideMark/>
          </w:tcPr>
          <w:p w:rsidR="00943FCD" w:rsidRDefault="00943FCD">
            <w:pPr>
              <w:rPr>
                <w:b/>
                <w:sz w:val="20"/>
                <w:szCs w:val="20"/>
              </w:rPr>
            </w:pPr>
            <w:r>
              <w:rPr>
                <w:b/>
                <w:sz w:val="20"/>
                <w:szCs w:val="20"/>
              </w:rPr>
              <w:t>Review date</w:t>
            </w:r>
          </w:p>
        </w:tc>
      </w:tr>
      <w:tr w:rsidR="00CD700E" w:rsidTr="00CD700E">
        <w:tc>
          <w:tcPr>
            <w:tcW w:w="4812" w:type="dxa"/>
            <w:tcMar>
              <w:top w:w="57" w:type="dxa"/>
              <w:left w:w="108" w:type="dxa"/>
              <w:bottom w:w="57" w:type="dxa"/>
              <w:right w:w="108" w:type="dxa"/>
            </w:tcMar>
          </w:tcPr>
          <w:p w:rsidR="00CD700E" w:rsidRPr="00716BA1" w:rsidRDefault="00CD700E" w:rsidP="00CD700E">
            <w:pPr>
              <w:pBdr>
                <w:top w:val="nil"/>
                <w:left w:val="nil"/>
                <w:bottom w:val="nil"/>
                <w:right w:val="nil"/>
                <w:between w:val="nil"/>
              </w:pBdr>
              <w:rPr>
                <w:b/>
                <w:color w:val="000000"/>
                <w:sz w:val="20"/>
                <w:szCs w:val="20"/>
                <w:u w:val="single"/>
              </w:rPr>
            </w:pPr>
            <w:r w:rsidRPr="00716BA1">
              <w:rPr>
                <w:b/>
                <w:color w:val="000000"/>
                <w:sz w:val="20"/>
                <w:szCs w:val="20"/>
                <w:u w:val="single"/>
              </w:rPr>
              <w:t>1-to-1 and small group tuition</w:t>
            </w:r>
          </w:p>
          <w:p w:rsidR="00CD700E" w:rsidRPr="00716BA1" w:rsidRDefault="00CD700E" w:rsidP="00CD700E">
            <w:pPr>
              <w:pBdr>
                <w:top w:val="nil"/>
                <w:left w:val="nil"/>
                <w:bottom w:val="nil"/>
                <w:right w:val="nil"/>
                <w:between w:val="nil"/>
              </w:pBdr>
              <w:rPr>
                <w:b/>
                <w:color w:val="000000"/>
                <w:sz w:val="20"/>
                <w:szCs w:val="20"/>
              </w:rPr>
            </w:pPr>
          </w:p>
          <w:p w:rsidR="00CD700E" w:rsidRPr="00716BA1" w:rsidRDefault="00CD700E" w:rsidP="00CD700E">
            <w:pPr>
              <w:pBdr>
                <w:top w:val="nil"/>
                <w:left w:val="nil"/>
                <w:bottom w:val="nil"/>
                <w:right w:val="nil"/>
                <w:between w:val="nil"/>
              </w:pBdr>
              <w:rPr>
                <w:b/>
                <w:color w:val="000000"/>
                <w:sz w:val="20"/>
                <w:szCs w:val="20"/>
              </w:rPr>
            </w:pPr>
            <w:r w:rsidRPr="00716BA1">
              <w:rPr>
                <w:b/>
                <w:color w:val="000000"/>
                <w:sz w:val="20"/>
                <w:szCs w:val="20"/>
              </w:rPr>
              <w:t>Identified children will work on reading fluency, comprehension skills and arithmetic skills.  This will lead to children with significantly increased rates of reading fluency who can comprehend reading better as a result of being able to read at pace without spending their working memory decoding. They will be confident mathematicians who can apply their arithmetic fluency skills in a variety of contexts.</w:t>
            </w:r>
          </w:p>
          <w:p w:rsidR="00CD700E" w:rsidRPr="00716BA1" w:rsidRDefault="00CD700E" w:rsidP="00CD700E">
            <w:pPr>
              <w:pBdr>
                <w:top w:val="nil"/>
                <w:left w:val="nil"/>
                <w:bottom w:val="nil"/>
                <w:right w:val="nil"/>
                <w:between w:val="nil"/>
              </w:pBdr>
              <w:rPr>
                <w:b/>
                <w:color w:val="000000"/>
                <w:sz w:val="20"/>
                <w:szCs w:val="20"/>
              </w:rPr>
            </w:pPr>
          </w:p>
          <w:p w:rsidR="00CD700E" w:rsidRPr="00716BA1" w:rsidRDefault="00CD700E" w:rsidP="00CD700E">
            <w:pPr>
              <w:pBdr>
                <w:top w:val="nil"/>
                <w:left w:val="nil"/>
                <w:bottom w:val="nil"/>
                <w:right w:val="nil"/>
                <w:between w:val="nil"/>
              </w:pBdr>
              <w:rPr>
                <w:b/>
                <w:color w:val="000000"/>
                <w:sz w:val="20"/>
                <w:szCs w:val="20"/>
              </w:rPr>
            </w:pPr>
          </w:p>
        </w:tc>
        <w:tc>
          <w:tcPr>
            <w:tcW w:w="4959" w:type="dxa"/>
            <w:tcMar>
              <w:top w:w="57" w:type="dxa"/>
              <w:left w:w="108" w:type="dxa"/>
              <w:bottom w:w="57" w:type="dxa"/>
              <w:right w:w="108" w:type="dxa"/>
            </w:tcMar>
          </w:tcPr>
          <w:p w:rsidR="00CD700E" w:rsidRPr="00716BA1" w:rsidRDefault="00CD700E" w:rsidP="00CD700E">
            <w:pPr>
              <w:pBdr>
                <w:top w:val="nil"/>
                <w:left w:val="nil"/>
                <w:bottom w:val="nil"/>
                <w:right w:val="nil"/>
                <w:between w:val="nil"/>
              </w:pBdr>
              <w:rPr>
                <w:color w:val="000000"/>
                <w:sz w:val="20"/>
                <w:szCs w:val="20"/>
              </w:rPr>
            </w:pPr>
            <w:proofErr w:type="spellStart"/>
            <w:r w:rsidRPr="00716BA1">
              <w:rPr>
                <w:color w:val="000000"/>
                <w:sz w:val="20"/>
                <w:szCs w:val="20"/>
              </w:rPr>
              <w:t>Lancasterian</w:t>
            </w:r>
            <w:proofErr w:type="spellEnd"/>
            <w:r w:rsidRPr="00716BA1">
              <w:rPr>
                <w:color w:val="000000"/>
                <w:sz w:val="20"/>
                <w:szCs w:val="20"/>
              </w:rPr>
              <w:t xml:space="preserve"> is engaging with the National Tutoring Programme and is working with the Career Tree Tuition Partner.  Children have been identified using data and teacher judgement and will have </w:t>
            </w:r>
            <w:proofErr w:type="gramStart"/>
            <w:r w:rsidRPr="00716BA1">
              <w:rPr>
                <w:color w:val="000000"/>
                <w:sz w:val="20"/>
                <w:szCs w:val="20"/>
              </w:rPr>
              <w:t>15 hour</w:t>
            </w:r>
            <w:proofErr w:type="gramEnd"/>
            <w:r w:rsidRPr="00716BA1">
              <w:rPr>
                <w:color w:val="000000"/>
                <w:sz w:val="20"/>
                <w:szCs w:val="20"/>
              </w:rPr>
              <w:t xml:space="preserve"> blocks of tutoring which focuses directly on gaps in learning. Year groups identified are:</w:t>
            </w:r>
          </w:p>
          <w:p w:rsidR="00CD700E" w:rsidRPr="00716BA1" w:rsidRDefault="00CD700E" w:rsidP="00CD700E">
            <w:pPr>
              <w:pBdr>
                <w:top w:val="nil"/>
                <w:left w:val="nil"/>
                <w:bottom w:val="nil"/>
                <w:right w:val="nil"/>
                <w:between w:val="nil"/>
              </w:pBdr>
              <w:rPr>
                <w:color w:val="000000"/>
                <w:sz w:val="20"/>
                <w:szCs w:val="20"/>
              </w:rPr>
            </w:pPr>
          </w:p>
          <w:p w:rsidR="00CD700E" w:rsidRPr="00716BA1" w:rsidRDefault="00CD700E" w:rsidP="00CD700E">
            <w:pPr>
              <w:pStyle w:val="ListParagraph"/>
              <w:numPr>
                <w:ilvl w:val="0"/>
                <w:numId w:val="8"/>
              </w:numPr>
              <w:pBdr>
                <w:top w:val="nil"/>
                <w:left w:val="nil"/>
                <w:bottom w:val="nil"/>
                <w:right w:val="nil"/>
                <w:between w:val="nil"/>
              </w:pBdr>
              <w:rPr>
                <w:color w:val="000000"/>
                <w:sz w:val="20"/>
                <w:szCs w:val="20"/>
              </w:rPr>
            </w:pPr>
            <w:r w:rsidRPr="00716BA1">
              <w:rPr>
                <w:color w:val="000000"/>
                <w:sz w:val="20"/>
                <w:szCs w:val="20"/>
              </w:rPr>
              <w:t>Year 2 – 2 classes</w:t>
            </w:r>
          </w:p>
          <w:p w:rsidR="00CD700E" w:rsidRPr="00716BA1" w:rsidRDefault="00CD700E" w:rsidP="00CD700E">
            <w:pPr>
              <w:pStyle w:val="ListParagraph"/>
              <w:numPr>
                <w:ilvl w:val="0"/>
                <w:numId w:val="8"/>
              </w:numPr>
              <w:pBdr>
                <w:top w:val="nil"/>
                <w:left w:val="nil"/>
                <w:bottom w:val="nil"/>
                <w:right w:val="nil"/>
                <w:between w:val="nil"/>
              </w:pBdr>
              <w:rPr>
                <w:color w:val="000000"/>
                <w:sz w:val="20"/>
                <w:szCs w:val="20"/>
              </w:rPr>
            </w:pPr>
            <w:r w:rsidRPr="00716BA1">
              <w:rPr>
                <w:color w:val="000000"/>
                <w:sz w:val="20"/>
                <w:szCs w:val="20"/>
              </w:rPr>
              <w:t>Year 5 – 2 classes</w:t>
            </w:r>
          </w:p>
          <w:p w:rsidR="00CD700E" w:rsidRPr="00716BA1" w:rsidRDefault="00CD700E" w:rsidP="00CD700E">
            <w:pPr>
              <w:pStyle w:val="ListParagraph"/>
              <w:numPr>
                <w:ilvl w:val="0"/>
                <w:numId w:val="8"/>
              </w:numPr>
              <w:pBdr>
                <w:top w:val="nil"/>
                <w:left w:val="nil"/>
                <w:bottom w:val="nil"/>
                <w:right w:val="nil"/>
                <w:between w:val="nil"/>
              </w:pBdr>
              <w:rPr>
                <w:color w:val="000000"/>
                <w:sz w:val="20"/>
                <w:szCs w:val="20"/>
              </w:rPr>
            </w:pPr>
            <w:r w:rsidRPr="00716BA1">
              <w:rPr>
                <w:color w:val="000000"/>
                <w:sz w:val="20"/>
                <w:szCs w:val="20"/>
              </w:rPr>
              <w:t>Year 6 – 2 classes</w:t>
            </w:r>
          </w:p>
          <w:p w:rsidR="00CD700E" w:rsidRPr="00716BA1" w:rsidRDefault="00CD700E" w:rsidP="00CD700E">
            <w:pPr>
              <w:pStyle w:val="ListParagraph"/>
              <w:pBdr>
                <w:top w:val="nil"/>
                <w:left w:val="nil"/>
                <w:bottom w:val="nil"/>
                <w:right w:val="nil"/>
                <w:between w:val="nil"/>
              </w:pBdr>
              <w:rPr>
                <w:color w:val="000000"/>
                <w:sz w:val="20"/>
                <w:szCs w:val="20"/>
              </w:rPr>
            </w:pPr>
          </w:p>
          <w:p w:rsidR="00CD700E" w:rsidRPr="00716BA1" w:rsidRDefault="00CD700E" w:rsidP="00CD700E">
            <w:pPr>
              <w:pBdr>
                <w:top w:val="nil"/>
                <w:left w:val="nil"/>
                <w:bottom w:val="nil"/>
                <w:right w:val="nil"/>
                <w:between w:val="nil"/>
              </w:pBdr>
              <w:rPr>
                <w:color w:val="000000"/>
                <w:sz w:val="20"/>
                <w:szCs w:val="20"/>
              </w:rPr>
            </w:pPr>
            <w:r w:rsidRPr="00716BA1">
              <w:rPr>
                <w:color w:val="000000"/>
                <w:sz w:val="20"/>
                <w:szCs w:val="20"/>
              </w:rPr>
              <w:lastRenderedPageBreak/>
              <w:t xml:space="preserve">12 children per class will be tutored (6 for maths and 6 for English) in a </w:t>
            </w:r>
            <w:proofErr w:type="gramStart"/>
            <w:r w:rsidRPr="00716BA1">
              <w:rPr>
                <w:color w:val="000000"/>
                <w:sz w:val="20"/>
                <w:szCs w:val="20"/>
              </w:rPr>
              <w:t>15 hour</w:t>
            </w:r>
            <w:proofErr w:type="gramEnd"/>
            <w:r w:rsidRPr="00716BA1">
              <w:rPr>
                <w:color w:val="000000"/>
                <w:sz w:val="20"/>
                <w:szCs w:val="20"/>
              </w:rPr>
              <w:t xml:space="preserve"> block.</w:t>
            </w:r>
          </w:p>
          <w:p w:rsidR="00CD700E" w:rsidRPr="00716BA1" w:rsidRDefault="00CD700E" w:rsidP="00CD700E">
            <w:pPr>
              <w:pBdr>
                <w:top w:val="nil"/>
                <w:left w:val="nil"/>
                <w:bottom w:val="nil"/>
                <w:right w:val="nil"/>
                <w:between w:val="nil"/>
              </w:pBdr>
              <w:rPr>
                <w:color w:val="000000"/>
                <w:sz w:val="20"/>
                <w:szCs w:val="20"/>
              </w:rPr>
            </w:pPr>
          </w:p>
          <w:p w:rsidR="00CD700E" w:rsidRPr="00716BA1" w:rsidRDefault="00CD700E" w:rsidP="00CD700E">
            <w:pPr>
              <w:pBdr>
                <w:top w:val="nil"/>
                <w:left w:val="nil"/>
                <w:bottom w:val="nil"/>
                <w:right w:val="nil"/>
                <w:between w:val="nil"/>
              </w:pBdr>
              <w:rPr>
                <w:color w:val="000000"/>
                <w:sz w:val="20"/>
                <w:szCs w:val="20"/>
              </w:rPr>
            </w:pPr>
            <w:r w:rsidRPr="00716BA1">
              <w:rPr>
                <w:color w:val="000000"/>
                <w:sz w:val="20"/>
                <w:szCs w:val="20"/>
              </w:rPr>
              <w:t>Tutoring will run 3 times throughout the year.</w:t>
            </w:r>
          </w:p>
          <w:p w:rsidR="00CD700E" w:rsidRPr="00716BA1" w:rsidRDefault="00CD700E" w:rsidP="00CD700E">
            <w:pPr>
              <w:pBdr>
                <w:top w:val="nil"/>
                <w:left w:val="nil"/>
                <w:bottom w:val="nil"/>
                <w:right w:val="nil"/>
                <w:between w:val="nil"/>
              </w:pBdr>
              <w:rPr>
                <w:color w:val="FF0000"/>
                <w:sz w:val="20"/>
                <w:szCs w:val="20"/>
              </w:rPr>
            </w:pPr>
          </w:p>
          <w:p w:rsidR="00CD700E" w:rsidRPr="00716BA1" w:rsidRDefault="00CD700E" w:rsidP="00CD700E">
            <w:pPr>
              <w:pBdr>
                <w:top w:val="nil"/>
                <w:left w:val="nil"/>
                <w:bottom w:val="nil"/>
                <w:right w:val="nil"/>
                <w:between w:val="nil"/>
              </w:pBdr>
              <w:jc w:val="right"/>
              <w:rPr>
                <w:color w:val="FF0000"/>
                <w:sz w:val="20"/>
                <w:szCs w:val="20"/>
              </w:rPr>
            </w:pPr>
            <w:r w:rsidRPr="00716BA1">
              <w:rPr>
                <w:color w:val="FF0000"/>
                <w:sz w:val="20"/>
                <w:szCs w:val="20"/>
              </w:rPr>
              <w:t>(1x15 hours for all children = £5,670)</w:t>
            </w:r>
          </w:p>
          <w:p w:rsidR="00CD700E" w:rsidRPr="00716BA1" w:rsidRDefault="00CD700E" w:rsidP="00CD700E">
            <w:pPr>
              <w:pBdr>
                <w:top w:val="nil"/>
                <w:left w:val="nil"/>
                <w:bottom w:val="nil"/>
                <w:right w:val="nil"/>
                <w:between w:val="nil"/>
              </w:pBdr>
              <w:rPr>
                <w:color w:val="000000"/>
                <w:sz w:val="20"/>
                <w:szCs w:val="20"/>
              </w:rPr>
            </w:pPr>
          </w:p>
          <w:p w:rsidR="00CD700E" w:rsidRPr="00716BA1" w:rsidRDefault="00CD700E" w:rsidP="00CD700E">
            <w:pPr>
              <w:pBdr>
                <w:top w:val="nil"/>
                <w:left w:val="nil"/>
                <w:bottom w:val="nil"/>
                <w:right w:val="nil"/>
                <w:between w:val="nil"/>
              </w:pBdr>
              <w:jc w:val="right"/>
              <w:rPr>
                <w:color w:val="FF0000"/>
                <w:sz w:val="20"/>
                <w:szCs w:val="20"/>
              </w:rPr>
            </w:pPr>
            <w:r w:rsidRPr="00716BA1">
              <w:rPr>
                <w:color w:val="FF0000"/>
                <w:sz w:val="20"/>
                <w:szCs w:val="20"/>
              </w:rPr>
              <w:t xml:space="preserve"> (3x15 hours for all children = £17,010)</w:t>
            </w:r>
          </w:p>
          <w:p w:rsidR="00CD700E" w:rsidRPr="00716BA1" w:rsidRDefault="00CD700E" w:rsidP="00CD700E">
            <w:pPr>
              <w:rPr>
                <w:sz w:val="20"/>
                <w:szCs w:val="20"/>
              </w:rPr>
            </w:pPr>
          </w:p>
        </w:tc>
        <w:tc>
          <w:tcPr>
            <w:tcW w:w="307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CD700E" w:rsidRDefault="00CD700E" w:rsidP="00CD700E">
            <w:pPr>
              <w:rPr>
                <w:sz w:val="20"/>
                <w:szCs w:val="20"/>
              </w:rPr>
            </w:pPr>
          </w:p>
        </w:tc>
        <w:tc>
          <w:tcPr>
            <w:tcW w:w="109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CD700E" w:rsidRDefault="00CD700E" w:rsidP="00CD700E">
            <w:pPr>
              <w:rPr>
                <w:sz w:val="20"/>
                <w:szCs w:val="20"/>
              </w:rPr>
            </w:pPr>
            <w:r>
              <w:rPr>
                <w:sz w:val="20"/>
                <w:szCs w:val="20"/>
              </w:rPr>
              <w:t>Charlotte Clinton DHT</w:t>
            </w:r>
          </w:p>
        </w:tc>
        <w:tc>
          <w:tcPr>
            <w:tcW w:w="1178" w:type="dxa"/>
            <w:tcBorders>
              <w:top w:val="single" w:sz="4" w:space="0" w:color="000000"/>
              <w:left w:val="single" w:sz="4" w:space="0" w:color="000000"/>
              <w:bottom w:val="single" w:sz="4" w:space="0" w:color="000000"/>
              <w:right w:val="single" w:sz="4" w:space="0" w:color="000000"/>
            </w:tcBorders>
          </w:tcPr>
          <w:p w:rsidR="00CD700E" w:rsidRDefault="00CD700E" w:rsidP="00CD700E">
            <w:pPr>
              <w:rPr>
                <w:sz w:val="20"/>
                <w:szCs w:val="20"/>
              </w:rPr>
            </w:pPr>
            <w:r>
              <w:rPr>
                <w:sz w:val="20"/>
                <w:szCs w:val="20"/>
              </w:rPr>
              <w:t xml:space="preserve">Ongoing after first </w:t>
            </w:r>
            <w:proofErr w:type="gramStart"/>
            <w:r>
              <w:rPr>
                <w:sz w:val="20"/>
                <w:szCs w:val="20"/>
              </w:rPr>
              <w:t>15 hour</w:t>
            </w:r>
            <w:proofErr w:type="gramEnd"/>
            <w:r>
              <w:rPr>
                <w:sz w:val="20"/>
                <w:szCs w:val="20"/>
              </w:rPr>
              <w:t xml:space="preserve"> block</w:t>
            </w:r>
          </w:p>
        </w:tc>
      </w:tr>
      <w:tr w:rsidR="00CD700E" w:rsidTr="00CD700E">
        <w:tc>
          <w:tcPr>
            <w:tcW w:w="4812" w:type="dxa"/>
            <w:tcMar>
              <w:top w:w="57" w:type="dxa"/>
              <w:left w:w="108" w:type="dxa"/>
              <w:bottom w:w="57" w:type="dxa"/>
              <w:right w:w="108" w:type="dxa"/>
            </w:tcMar>
          </w:tcPr>
          <w:p w:rsidR="00CD700E" w:rsidRPr="00716BA1" w:rsidRDefault="00CD700E" w:rsidP="00CD700E">
            <w:pPr>
              <w:rPr>
                <w:b/>
                <w:sz w:val="20"/>
                <w:szCs w:val="20"/>
                <w:u w:val="single"/>
              </w:rPr>
            </w:pPr>
            <w:r w:rsidRPr="00716BA1">
              <w:rPr>
                <w:b/>
                <w:sz w:val="20"/>
                <w:szCs w:val="20"/>
                <w:u w:val="single"/>
              </w:rPr>
              <w:t>Weekend Intervention programme</w:t>
            </w:r>
          </w:p>
          <w:p w:rsidR="00CD700E" w:rsidRPr="00716BA1" w:rsidRDefault="00CD700E" w:rsidP="00CD700E">
            <w:pPr>
              <w:rPr>
                <w:b/>
                <w:sz w:val="20"/>
                <w:szCs w:val="20"/>
              </w:rPr>
            </w:pPr>
          </w:p>
          <w:p w:rsidR="00CD700E" w:rsidRPr="00716BA1" w:rsidRDefault="00CD700E" w:rsidP="00CD700E">
            <w:pPr>
              <w:rPr>
                <w:b/>
                <w:sz w:val="20"/>
                <w:szCs w:val="20"/>
              </w:rPr>
            </w:pPr>
            <w:r w:rsidRPr="00716BA1">
              <w:rPr>
                <w:b/>
                <w:sz w:val="20"/>
                <w:szCs w:val="20"/>
              </w:rPr>
              <w:t>An appropriate numeracy intervention, such as Catch-Up Numeracy, supports those identified children in reinforcing their understanding of basic maths skills and application of number.</w:t>
            </w:r>
          </w:p>
          <w:p w:rsidR="00CD700E" w:rsidRPr="00716BA1" w:rsidRDefault="00CD700E" w:rsidP="00CD700E">
            <w:pPr>
              <w:rPr>
                <w:b/>
                <w:sz w:val="20"/>
                <w:szCs w:val="20"/>
              </w:rPr>
            </w:pPr>
          </w:p>
        </w:tc>
        <w:tc>
          <w:tcPr>
            <w:tcW w:w="4959" w:type="dxa"/>
            <w:tcMar>
              <w:top w:w="57" w:type="dxa"/>
              <w:left w:w="108" w:type="dxa"/>
              <w:bottom w:w="57" w:type="dxa"/>
              <w:right w:w="108" w:type="dxa"/>
            </w:tcMar>
          </w:tcPr>
          <w:p w:rsidR="00CD700E" w:rsidRPr="00716BA1" w:rsidRDefault="00CD700E" w:rsidP="00CD700E">
            <w:pPr>
              <w:pBdr>
                <w:top w:val="nil"/>
                <w:left w:val="nil"/>
                <w:bottom w:val="nil"/>
                <w:right w:val="nil"/>
                <w:between w:val="nil"/>
              </w:pBdr>
              <w:rPr>
                <w:color w:val="000000"/>
                <w:sz w:val="20"/>
                <w:szCs w:val="20"/>
              </w:rPr>
            </w:pPr>
            <w:r w:rsidRPr="00716BA1">
              <w:rPr>
                <w:color w:val="000000"/>
                <w:sz w:val="20"/>
                <w:szCs w:val="20"/>
              </w:rPr>
              <w:t xml:space="preserve">Mr </w:t>
            </w:r>
            <w:proofErr w:type="spellStart"/>
            <w:r w:rsidRPr="00716BA1">
              <w:rPr>
                <w:color w:val="000000"/>
                <w:sz w:val="20"/>
                <w:szCs w:val="20"/>
              </w:rPr>
              <w:t>Numbervator</w:t>
            </w:r>
            <w:proofErr w:type="spellEnd"/>
            <w:r w:rsidRPr="00716BA1">
              <w:rPr>
                <w:color w:val="000000"/>
                <w:sz w:val="20"/>
                <w:szCs w:val="20"/>
              </w:rPr>
              <w:t xml:space="preserve"> intervention is identified and purchased. Children access this on Saturday mornings at home via Zoom.</w:t>
            </w:r>
          </w:p>
          <w:p w:rsidR="00CD700E" w:rsidRPr="00716BA1" w:rsidRDefault="00CD700E" w:rsidP="00CD700E">
            <w:pPr>
              <w:pBdr>
                <w:top w:val="nil"/>
                <w:left w:val="nil"/>
                <w:bottom w:val="nil"/>
                <w:right w:val="nil"/>
                <w:between w:val="nil"/>
              </w:pBdr>
              <w:rPr>
                <w:color w:val="000000"/>
                <w:sz w:val="20"/>
                <w:szCs w:val="20"/>
              </w:rPr>
            </w:pPr>
          </w:p>
          <w:p w:rsidR="00CD700E" w:rsidRPr="00716BA1" w:rsidRDefault="00CD700E" w:rsidP="00CD700E">
            <w:pPr>
              <w:jc w:val="right"/>
              <w:rPr>
                <w:sz w:val="20"/>
                <w:szCs w:val="20"/>
              </w:rPr>
            </w:pPr>
            <w:r w:rsidRPr="00716BA1">
              <w:rPr>
                <w:color w:val="FF0000"/>
                <w:sz w:val="20"/>
                <w:szCs w:val="20"/>
              </w:rPr>
              <w:t>(£80 per week for 15 weeks = £1,200)</w:t>
            </w:r>
          </w:p>
        </w:tc>
        <w:tc>
          <w:tcPr>
            <w:tcW w:w="307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CD700E" w:rsidRDefault="00CD700E" w:rsidP="00CD700E">
            <w:pPr>
              <w:rPr>
                <w:sz w:val="20"/>
                <w:szCs w:val="20"/>
              </w:rPr>
            </w:pPr>
          </w:p>
        </w:tc>
        <w:tc>
          <w:tcPr>
            <w:tcW w:w="109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CD700E" w:rsidRDefault="00CD700E" w:rsidP="00CD700E">
            <w:pPr>
              <w:rPr>
                <w:sz w:val="20"/>
                <w:szCs w:val="20"/>
              </w:rPr>
            </w:pPr>
            <w:r>
              <w:rPr>
                <w:sz w:val="20"/>
                <w:szCs w:val="20"/>
              </w:rPr>
              <w:t>Charlotte Clinton DHT</w:t>
            </w:r>
          </w:p>
        </w:tc>
        <w:tc>
          <w:tcPr>
            <w:tcW w:w="1178" w:type="dxa"/>
            <w:tcBorders>
              <w:top w:val="single" w:sz="4" w:space="0" w:color="000000"/>
              <w:left w:val="single" w:sz="4" w:space="0" w:color="000000"/>
              <w:bottom w:val="single" w:sz="4" w:space="0" w:color="000000"/>
              <w:right w:val="single" w:sz="4" w:space="0" w:color="000000"/>
            </w:tcBorders>
          </w:tcPr>
          <w:p w:rsidR="00CD700E" w:rsidRDefault="00CD700E" w:rsidP="00CD700E">
            <w:pPr>
              <w:rPr>
                <w:sz w:val="20"/>
                <w:szCs w:val="20"/>
              </w:rPr>
            </w:pPr>
            <w:r>
              <w:rPr>
                <w:sz w:val="20"/>
                <w:szCs w:val="20"/>
              </w:rPr>
              <w:t>Ongoing</w:t>
            </w:r>
          </w:p>
        </w:tc>
      </w:tr>
      <w:tr w:rsidR="00CD700E" w:rsidTr="00CD700E">
        <w:tc>
          <w:tcPr>
            <w:tcW w:w="4812" w:type="dxa"/>
            <w:tcMar>
              <w:top w:w="57" w:type="dxa"/>
              <w:left w:w="108" w:type="dxa"/>
              <w:bottom w:w="57" w:type="dxa"/>
              <w:right w:w="108" w:type="dxa"/>
            </w:tcMar>
          </w:tcPr>
          <w:p w:rsidR="00CD700E" w:rsidRDefault="00CD700E" w:rsidP="00CD700E">
            <w:pPr>
              <w:rPr>
                <w:b/>
                <w:sz w:val="20"/>
                <w:szCs w:val="20"/>
                <w:u w:val="single"/>
              </w:rPr>
            </w:pPr>
            <w:r>
              <w:rPr>
                <w:b/>
                <w:sz w:val="20"/>
                <w:szCs w:val="20"/>
                <w:u w:val="single"/>
              </w:rPr>
              <w:t>Academic Mentor</w:t>
            </w:r>
          </w:p>
          <w:p w:rsidR="00CD700E" w:rsidRDefault="00CD700E" w:rsidP="00CD700E">
            <w:pPr>
              <w:rPr>
                <w:b/>
                <w:sz w:val="20"/>
                <w:szCs w:val="20"/>
                <w:u w:val="single"/>
              </w:rPr>
            </w:pPr>
          </w:p>
          <w:p w:rsidR="00CD700E" w:rsidRDefault="00CD700E" w:rsidP="00CD700E">
            <w:pPr>
              <w:rPr>
                <w:b/>
                <w:sz w:val="20"/>
                <w:szCs w:val="20"/>
              </w:rPr>
            </w:pPr>
            <w:r>
              <w:rPr>
                <w:b/>
                <w:sz w:val="20"/>
                <w:szCs w:val="20"/>
              </w:rPr>
              <w:t xml:space="preserve">A staff member who would work fulltime at </w:t>
            </w:r>
            <w:proofErr w:type="spellStart"/>
            <w:r>
              <w:rPr>
                <w:b/>
                <w:sz w:val="20"/>
                <w:szCs w:val="20"/>
              </w:rPr>
              <w:t>Lancasterian</w:t>
            </w:r>
            <w:proofErr w:type="spellEnd"/>
            <w:r>
              <w:rPr>
                <w:b/>
                <w:sz w:val="20"/>
                <w:szCs w:val="20"/>
              </w:rPr>
              <w:t xml:space="preserve">, tutoring children across the school.  As with 1-to-1 and small group tuition, children would be receiving a bespoke provision in order to fill gaps in learning. </w:t>
            </w:r>
          </w:p>
          <w:p w:rsidR="00CD700E" w:rsidRPr="00716BA1" w:rsidRDefault="00CD700E" w:rsidP="00CD700E">
            <w:pPr>
              <w:rPr>
                <w:b/>
                <w:sz w:val="20"/>
                <w:szCs w:val="20"/>
              </w:rPr>
            </w:pPr>
          </w:p>
        </w:tc>
        <w:tc>
          <w:tcPr>
            <w:tcW w:w="4959" w:type="dxa"/>
            <w:tcMar>
              <w:top w:w="57" w:type="dxa"/>
              <w:left w:w="108" w:type="dxa"/>
              <w:bottom w:w="57" w:type="dxa"/>
              <w:right w:w="108" w:type="dxa"/>
            </w:tcMar>
          </w:tcPr>
          <w:p w:rsidR="00CD700E" w:rsidRDefault="00CD700E" w:rsidP="00CD700E">
            <w:pPr>
              <w:pBdr>
                <w:top w:val="nil"/>
                <w:left w:val="nil"/>
                <w:bottom w:val="nil"/>
                <w:right w:val="nil"/>
                <w:between w:val="nil"/>
              </w:pBdr>
              <w:rPr>
                <w:color w:val="000000"/>
                <w:sz w:val="20"/>
                <w:szCs w:val="20"/>
              </w:rPr>
            </w:pPr>
            <w:proofErr w:type="spellStart"/>
            <w:r>
              <w:rPr>
                <w:color w:val="000000"/>
                <w:sz w:val="20"/>
                <w:szCs w:val="20"/>
              </w:rPr>
              <w:t>Lancasterian</w:t>
            </w:r>
            <w:proofErr w:type="spellEnd"/>
            <w:r>
              <w:rPr>
                <w:color w:val="000000"/>
                <w:sz w:val="20"/>
                <w:szCs w:val="20"/>
              </w:rPr>
              <w:t xml:space="preserve"> have applied for an Academic Mentor and will get confirmation of this in February 2021.</w:t>
            </w:r>
          </w:p>
          <w:p w:rsidR="00CD700E" w:rsidRDefault="00CD700E" w:rsidP="00CD700E">
            <w:pPr>
              <w:pBdr>
                <w:top w:val="nil"/>
                <w:left w:val="nil"/>
                <w:bottom w:val="nil"/>
                <w:right w:val="nil"/>
                <w:between w:val="nil"/>
              </w:pBdr>
              <w:rPr>
                <w:color w:val="000000"/>
                <w:sz w:val="20"/>
                <w:szCs w:val="20"/>
              </w:rPr>
            </w:pPr>
          </w:p>
          <w:p w:rsidR="00CD700E" w:rsidRDefault="00CD700E" w:rsidP="00CD700E">
            <w:pPr>
              <w:pBdr>
                <w:top w:val="nil"/>
                <w:left w:val="nil"/>
                <w:bottom w:val="nil"/>
                <w:right w:val="nil"/>
                <w:between w:val="nil"/>
              </w:pBdr>
              <w:rPr>
                <w:color w:val="000000"/>
                <w:sz w:val="20"/>
                <w:szCs w:val="20"/>
              </w:rPr>
            </w:pPr>
          </w:p>
          <w:p w:rsidR="00CD700E" w:rsidRPr="00716BA1" w:rsidRDefault="00CD700E" w:rsidP="00CD700E">
            <w:pPr>
              <w:pBdr>
                <w:top w:val="nil"/>
                <w:left w:val="nil"/>
                <w:bottom w:val="nil"/>
                <w:right w:val="nil"/>
                <w:between w:val="nil"/>
              </w:pBdr>
              <w:jc w:val="right"/>
              <w:rPr>
                <w:color w:val="FF0000"/>
                <w:sz w:val="20"/>
                <w:szCs w:val="20"/>
              </w:rPr>
            </w:pPr>
            <w:r w:rsidRPr="00716BA1">
              <w:rPr>
                <w:color w:val="FF0000"/>
                <w:sz w:val="20"/>
                <w:szCs w:val="20"/>
              </w:rPr>
              <w:t>(</w:t>
            </w:r>
            <w:r>
              <w:rPr>
                <w:color w:val="FF0000"/>
                <w:sz w:val="20"/>
                <w:szCs w:val="20"/>
              </w:rPr>
              <w:t>£7,000 on-costs</w:t>
            </w:r>
            <w:r w:rsidR="000D7445">
              <w:rPr>
                <w:color w:val="FF0000"/>
                <w:sz w:val="20"/>
                <w:szCs w:val="20"/>
              </w:rPr>
              <w:t xml:space="preserve"> if approved for a mentor</w:t>
            </w:r>
            <w:r w:rsidRPr="00716BA1">
              <w:rPr>
                <w:color w:val="FF0000"/>
                <w:sz w:val="20"/>
                <w:szCs w:val="20"/>
              </w:rPr>
              <w:t>)</w:t>
            </w:r>
          </w:p>
          <w:p w:rsidR="00CD700E" w:rsidRPr="00716BA1" w:rsidRDefault="00CD700E" w:rsidP="00CD700E">
            <w:pPr>
              <w:pBdr>
                <w:top w:val="nil"/>
                <w:left w:val="nil"/>
                <w:bottom w:val="nil"/>
                <w:right w:val="nil"/>
                <w:between w:val="nil"/>
              </w:pBdr>
              <w:rPr>
                <w:color w:val="000000"/>
                <w:sz w:val="20"/>
                <w:szCs w:val="20"/>
              </w:rPr>
            </w:pPr>
          </w:p>
        </w:tc>
        <w:tc>
          <w:tcPr>
            <w:tcW w:w="307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CD700E" w:rsidRDefault="00CD700E" w:rsidP="00CD700E">
            <w:pPr>
              <w:rPr>
                <w:sz w:val="20"/>
                <w:szCs w:val="20"/>
              </w:rPr>
            </w:pPr>
          </w:p>
        </w:tc>
        <w:tc>
          <w:tcPr>
            <w:tcW w:w="109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CD700E" w:rsidRDefault="00CD700E" w:rsidP="00CD700E">
            <w:pPr>
              <w:rPr>
                <w:sz w:val="20"/>
                <w:szCs w:val="20"/>
              </w:rPr>
            </w:pPr>
            <w:r>
              <w:rPr>
                <w:sz w:val="20"/>
                <w:szCs w:val="20"/>
              </w:rPr>
              <w:t>Charlotte Clinton DHT</w:t>
            </w:r>
          </w:p>
        </w:tc>
        <w:tc>
          <w:tcPr>
            <w:tcW w:w="1178" w:type="dxa"/>
            <w:tcBorders>
              <w:top w:val="single" w:sz="4" w:space="0" w:color="000000"/>
              <w:left w:val="single" w:sz="4" w:space="0" w:color="000000"/>
              <w:bottom w:val="single" w:sz="4" w:space="0" w:color="000000"/>
              <w:right w:val="single" w:sz="4" w:space="0" w:color="000000"/>
            </w:tcBorders>
          </w:tcPr>
          <w:p w:rsidR="00CD700E" w:rsidRDefault="00CD700E" w:rsidP="00CD700E">
            <w:pPr>
              <w:rPr>
                <w:sz w:val="20"/>
                <w:szCs w:val="20"/>
              </w:rPr>
            </w:pPr>
            <w:r>
              <w:rPr>
                <w:sz w:val="20"/>
                <w:szCs w:val="20"/>
              </w:rPr>
              <w:t>Summer 2021</w:t>
            </w:r>
          </w:p>
          <w:p w:rsidR="00CD700E" w:rsidRDefault="00CD700E" w:rsidP="00CD700E">
            <w:pPr>
              <w:rPr>
                <w:sz w:val="20"/>
                <w:szCs w:val="20"/>
              </w:rPr>
            </w:pPr>
          </w:p>
          <w:p w:rsidR="00CD700E" w:rsidRDefault="00CD700E" w:rsidP="00CD700E">
            <w:pPr>
              <w:rPr>
                <w:sz w:val="20"/>
                <w:szCs w:val="20"/>
              </w:rPr>
            </w:pPr>
            <w:r>
              <w:rPr>
                <w:sz w:val="20"/>
                <w:szCs w:val="20"/>
              </w:rPr>
              <w:t xml:space="preserve"> </w:t>
            </w:r>
          </w:p>
        </w:tc>
      </w:tr>
      <w:tr w:rsidR="00CD700E" w:rsidTr="00CD700E">
        <w:trPr>
          <w:trHeight w:val="387"/>
        </w:trPr>
        <w:tc>
          <w:tcPr>
            <w:tcW w:w="13942" w:type="dxa"/>
            <w:gridSpan w:val="4"/>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CD700E" w:rsidRDefault="00CD700E" w:rsidP="00CD700E">
            <w:pPr>
              <w:jc w:val="right"/>
              <w:rPr>
                <w:color w:val="FF0000"/>
                <w:sz w:val="20"/>
                <w:szCs w:val="20"/>
              </w:rPr>
            </w:pPr>
            <w:r>
              <w:rPr>
                <w:b/>
                <w:color w:val="FF0000"/>
                <w:sz w:val="20"/>
                <w:szCs w:val="20"/>
              </w:rPr>
              <w:t>Total budgeted cost</w:t>
            </w:r>
          </w:p>
        </w:tc>
        <w:tc>
          <w:tcPr>
            <w:tcW w:w="1178" w:type="dxa"/>
            <w:tcBorders>
              <w:top w:val="single" w:sz="4" w:space="0" w:color="000000"/>
              <w:left w:val="single" w:sz="4" w:space="0" w:color="000000"/>
              <w:bottom w:val="single" w:sz="4" w:space="0" w:color="000000"/>
              <w:right w:val="single" w:sz="4" w:space="0" w:color="000000"/>
            </w:tcBorders>
          </w:tcPr>
          <w:p w:rsidR="00CD700E" w:rsidRDefault="003870DA" w:rsidP="00CD700E">
            <w:pPr>
              <w:rPr>
                <w:b/>
                <w:color w:val="FF0000"/>
                <w:sz w:val="20"/>
                <w:szCs w:val="20"/>
              </w:rPr>
            </w:pPr>
            <w:r>
              <w:rPr>
                <w:b/>
                <w:color w:val="FF0000"/>
                <w:sz w:val="20"/>
                <w:szCs w:val="20"/>
              </w:rPr>
              <w:t>£25,210</w:t>
            </w:r>
          </w:p>
        </w:tc>
      </w:tr>
    </w:tbl>
    <w:p w:rsidR="00943FCD" w:rsidRDefault="00943FCD" w:rsidP="00943FCD">
      <w:pPr>
        <w:rPr>
          <w:sz w:val="18"/>
          <w:szCs w:val="18"/>
        </w:rPr>
      </w:pPr>
    </w:p>
    <w:p w:rsidR="00943FCD" w:rsidRDefault="00943FCD" w:rsidP="00943FCD">
      <w:pPr>
        <w:rPr>
          <w:sz w:val="18"/>
          <w:szCs w:val="18"/>
        </w:rPr>
      </w:pPr>
    </w:p>
    <w:p w:rsidR="00943FCD" w:rsidRDefault="00943FCD" w:rsidP="00943FCD">
      <w:pPr>
        <w:rPr>
          <w:sz w:val="18"/>
          <w:szCs w:val="18"/>
        </w:rPr>
      </w:pPr>
    </w:p>
    <w:p w:rsidR="00943FCD" w:rsidRDefault="00943FCD" w:rsidP="00943FCD">
      <w:pPr>
        <w:rPr>
          <w:sz w:val="18"/>
          <w:szCs w:val="18"/>
        </w:rPr>
      </w:pPr>
    </w:p>
    <w:tbl>
      <w:tblPr>
        <w:tblW w:w="151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9"/>
        <w:gridCol w:w="4825"/>
        <w:gridCol w:w="3120"/>
        <w:gridCol w:w="1134"/>
        <w:gridCol w:w="1097"/>
      </w:tblGrid>
      <w:tr w:rsidR="00943FCD" w:rsidTr="00CD700E">
        <w:trPr>
          <w:trHeight w:val="312"/>
        </w:trPr>
        <w:tc>
          <w:tcPr>
            <w:tcW w:w="15135" w:type="dxa"/>
            <w:gridSpan w:val="5"/>
            <w:tcBorders>
              <w:top w:val="single" w:sz="4" w:space="0" w:color="000000"/>
              <w:left w:val="single" w:sz="4" w:space="0" w:color="000000"/>
              <w:bottom w:val="single" w:sz="4" w:space="0" w:color="000000"/>
              <w:right w:val="single" w:sz="4" w:space="0" w:color="000000"/>
            </w:tcBorders>
            <w:shd w:val="clear" w:color="auto" w:fill="D9D9D9"/>
            <w:tcMar>
              <w:top w:w="57" w:type="dxa"/>
              <w:left w:w="108" w:type="dxa"/>
              <w:bottom w:w="57" w:type="dxa"/>
              <w:right w:w="108" w:type="dxa"/>
            </w:tcMar>
            <w:hideMark/>
          </w:tcPr>
          <w:p w:rsidR="00943FCD" w:rsidRDefault="00943FCD" w:rsidP="00943FCD">
            <w:pPr>
              <w:numPr>
                <w:ilvl w:val="0"/>
                <w:numId w:val="13"/>
              </w:numPr>
              <w:rPr>
                <w:b/>
                <w:color w:val="000000"/>
                <w:sz w:val="20"/>
                <w:szCs w:val="20"/>
              </w:rPr>
            </w:pPr>
            <w:r>
              <w:rPr>
                <w:b/>
                <w:color w:val="000000"/>
                <w:sz w:val="20"/>
                <w:szCs w:val="20"/>
              </w:rPr>
              <w:t>Wider Strategies</w:t>
            </w:r>
          </w:p>
        </w:tc>
      </w:tr>
      <w:tr w:rsidR="00943FCD" w:rsidTr="00CD700E">
        <w:tc>
          <w:tcPr>
            <w:tcW w:w="495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943FCD" w:rsidRDefault="00943FCD">
            <w:pPr>
              <w:rPr>
                <w:b/>
                <w:sz w:val="20"/>
                <w:szCs w:val="20"/>
              </w:rPr>
            </w:pPr>
            <w:r>
              <w:rPr>
                <w:b/>
                <w:sz w:val="20"/>
                <w:szCs w:val="20"/>
              </w:rPr>
              <w:t>Desired outcome</w:t>
            </w:r>
          </w:p>
        </w:tc>
        <w:tc>
          <w:tcPr>
            <w:tcW w:w="482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943FCD" w:rsidRDefault="00943FCD">
            <w:pPr>
              <w:rPr>
                <w:b/>
                <w:sz w:val="20"/>
                <w:szCs w:val="20"/>
              </w:rPr>
            </w:pPr>
            <w:r>
              <w:rPr>
                <w:b/>
                <w:sz w:val="20"/>
                <w:szCs w:val="20"/>
              </w:rPr>
              <w:t>Chosen action/approach</w:t>
            </w:r>
          </w:p>
        </w:tc>
        <w:tc>
          <w:tcPr>
            <w:tcW w:w="31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943FCD" w:rsidRDefault="00943FCD">
            <w:pPr>
              <w:rPr>
                <w:b/>
                <w:sz w:val="20"/>
                <w:szCs w:val="20"/>
              </w:rPr>
            </w:pPr>
            <w:r>
              <w:rPr>
                <w:b/>
                <w:sz w:val="20"/>
                <w:szCs w:val="20"/>
              </w:rPr>
              <w:t>Impact (once reviewed)</w:t>
            </w: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943FCD" w:rsidRDefault="00943FCD">
            <w:pPr>
              <w:rPr>
                <w:b/>
                <w:sz w:val="20"/>
                <w:szCs w:val="20"/>
              </w:rPr>
            </w:pPr>
            <w:r>
              <w:rPr>
                <w:b/>
                <w:sz w:val="20"/>
                <w:szCs w:val="20"/>
              </w:rPr>
              <w:t>Staff lead</w:t>
            </w:r>
          </w:p>
        </w:tc>
        <w:tc>
          <w:tcPr>
            <w:tcW w:w="1097" w:type="dxa"/>
            <w:tcBorders>
              <w:top w:val="single" w:sz="4" w:space="0" w:color="000000"/>
              <w:left w:val="single" w:sz="4" w:space="0" w:color="000000"/>
              <w:bottom w:val="single" w:sz="4" w:space="0" w:color="000000"/>
              <w:right w:val="single" w:sz="4" w:space="0" w:color="000000"/>
            </w:tcBorders>
            <w:hideMark/>
          </w:tcPr>
          <w:p w:rsidR="00943FCD" w:rsidRDefault="00943FCD">
            <w:pPr>
              <w:rPr>
                <w:b/>
                <w:sz w:val="20"/>
                <w:szCs w:val="20"/>
              </w:rPr>
            </w:pPr>
            <w:r>
              <w:rPr>
                <w:b/>
                <w:sz w:val="20"/>
                <w:szCs w:val="20"/>
              </w:rPr>
              <w:t>Review date</w:t>
            </w:r>
          </w:p>
        </w:tc>
      </w:tr>
      <w:tr w:rsidR="00CD700E" w:rsidTr="00CD700E">
        <w:tc>
          <w:tcPr>
            <w:tcW w:w="495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CD700E" w:rsidRPr="00C877B1" w:rsidRDefault="00CD700E" w:rsidP="00CD700E">
            <w:pPr>
              <w:pBdr>
                <w:top w:val="nil"/>
                <w:left w:val="nil"/>
                <w:bottom w:val="nil"/>
                <w:right w:val="nil"/>
                <w:between w:val="nil"/>
              </w:pBdr>
              <w:rPr>
                <w:b/>
                <w:sz w:val="20"/>
                <w:szCs w:val="20"/>
                <w:u w:val="single"/>
              </w:rPr>
            </w:pPr>
            <w:r w:rsidRPr="00C877B1">
              <w:rPr>
                <w:b/>
                <w:sz w:val="20"/>
                <w:szCs w:val="20"/>
                <w:u w:val="single"/>
              </w:rPr>
              <w:t xml:space="preserve">Devices and Internet Access for Children </w:t>
            </w:r>
          </w:p>
          <w:p w:rsidR="00CD700E" w:rsidRDefault="00CD700E" w:rsidP="00CD700E">
            <w:pPr>
              <w:pBdr>
                <w:top w:val="nil"/>
                <w:left w:val="nil"/>
                <w:bottom w:val="nil"/>
                <w:right w:val="nil"/>
                <w:between w:val="nil"/>
              </w:pBdr>
              <w:rPr>
                <w:b/>
                <w:sz w:val="20"/>
                <w:szCs w:val="20"/>
              </w:rPr>
            </w:pPr>
          </w:p>
          <w:p w:rsidR="00CD700E" w:rsidRDefault="00CD700E" w:rsidP="00CD700E">
            <w:pPr>
              <w:pBdr>
                <w:top w:val="nil"/>
                <w:left w:val="nil"/>
                <w:bottom w:val="nil"/>
                <w:right w:val="nil"/>
                <w:between w:val="nil"/>
              </w:pBdr>
              <w:rPr>
                <w:b/>
                <w:sz w:val="20"/>
                <w:szCs w:val="20"/>
              </w:rPr>
            </w:pPr>
            <w:r>
              <w:rPr>
                <w:b/>
                <w:sz w:val="20"/>
                <w:szCs w:val="20"/>
              </w:rPr>
              <w:t>Children need access to devices if they are forced to isolate and work from home.  This would ensure children could continue to complete school work set by teachers and complete tutoring online instead of face-to-face.</w:t>
            </w:r>
          </w:p>
          <w:p w:rsidR="00CD700E" w:rsidRPr="00716BA1" w:rsidRDefault="00CD700E" w:rsidP="00CD700E">
            <w:pPr>
              <w:pBdr>
                <w:top w:val="nil"/>
                <w:left w:val="nil"/>
                <w:bottom w:val="nil"/>
                <w:right w:val="nil"/>
                <w:between w:val="nil"/>
              </w:pBdr>
              <w:rPr>
                <w:b/>
                <w:sz w:val="20"/>
                <w:szCs w:val="20"/>
              </w:rPr>
            </w:pPr>
          </w:p>
        </w:tc>
        <w:tc>
          <w:tcPr>
            <w:tcW w:w="482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CD700E" w:rsidRDefault="00CD700E" w:rsidP="00CD700E">
            <w:pPr>
              <w:pBdr>
                <w:top w:val="nil"/>
                <w:left w:val="nil"/>
                <w:bottom w:val="nil"/>
                <w:right w:val="nil"/>
                <w:between w:val="nil"/>
              </w:pBdr>
              <w:rPr>
                <w:sz w:val="20"/>
                <w:szCs w:val="20"/>
              </w:rPr>
            </w:pPr>
            <w:proofErr w:type="spellStart"/>
            <w:r>
              <w:rPr>
                <w:sz w:val="20"/>
                <w:szCs w:val="20"/>
              </w:rPr>
              <w:t>Lancasterian</w:t>
            </w:r>
            <w:proofErr w:type="spellEnd"/>
            <w:r>
              <w:rPr>
                <w:sz w:val="20"/>
                <w:szCs w:val="20"/>
              </w:rPr>
              <w:t xml:space="preserve"> has purchased internet dongles to support children when working from home to ensure no missed learning.</w:t>
            </w:r>
          </w:p>
          <w:p w:rsidR="00CD700E" w:rsidRDefault="00CD700E" w:rsidP="00CD700E">
            <w:pPr>
              <w:pBdr>
                <w:top w:val="nil"/>
                <w:left w:val="nil"/>
                <w:bottom w:val="nil"/>
                <w:right w:val="nil"/>
                <w:between w:val="nil"/>
              </w:pBdr>
              <w:rPr>
                <w:sz w:val="20"/>
                <w:szCs w:val="20"/>
              </w:rPr>
            </w:pPr>
          </w:p>
          <w:p w:rsidR="00CD700E" w:rsidRDefault="00CD700E" w:rsidP="00CD700E">
            <w:pPr>
              <w:pBdr>
                <w:top w:val="nil"/>
                <w:left w:val="nil"/>
                <w:bottom w:val="nil"/>
                <w:right w:val="nil"/>
                <w:between w:val="nil"/>
              </w:pBdr>
              <w:rPr>
                <w:sz w:val="20"/>
                <w:szCs w:val="20"/>
              </w:rPr>
            </w:pPr>
          </w:p>
          <w:p w:rsidR="00CD700E" w:rsidRDefault="00CD700E" w:rsidP="00CD700E">
            <w:pPr>
              <w:pBdr>
                <w:top w:val="nil"/>
                <w:left w:val="nil"/>
                <w:bottom w:val="nil"/>
                <w:right w:val="nil"/>
                <w:between w:val="nil"/>
              </w:pBdr>
              <w:rPr>
                <w:sz w:val="20"/>
                <w:szCs w:val="20"/>
              </w:rPr>
            </w:pPr>
          </w:p>
          <w:p w:rsidR="00CD700E" w:rsidRDefault="00CD700E" w:rsidP="00CD700E">
            <w:pPr>
              <w:pBdr>
                <w:top w:val="nil"/>
                <w:left w:val="nil"/>
                <w:bottom w:val="nil"/>
                <w:right w:val="nil"/>
                <w:between w:val="nil"/>
              </w:pBdr>
              <w:rPr>
                <w:sz w:val="20"/>
                <w:szCs w:val="20"/>
              </w:rPr>
            </w:pPr>
          </w:p>
          <w:p w:rsidR="00CD700E" w:rsidRPr="002D1B67" w:rsidRDefault="00CD700E" w:rsidP="00CD700E">
            <w:pPr>
              <w:pBdr>
                <w:top w:val="nil"/>
                <w:left w:val="nil"/>
                <w:bottom w:val="nil"/>
                <w:right w:val="nil"/>
                <w:between w:val="nil"/>
              </w:pBdr>
              <w:jc w:val="right"/>
              <w:rPr>
                <w:color w:val="FF0000"/>
                <w:sz w:val="20"/>
                <w:szCs w:val="20"/>
              </w:rPr>
            </w:pPr>
            <w:r>
              <w:rPr>
                <w:color w:val="FF0000"/>
                <w:sz w:val="20"/>
                <w:szCs w:val="20"/>
              </w:rPr>
              <w:t>(£</w:t>
            </w:r>
            <w:r w:rsidR="00EE2A0A">
              <w:rPr>
                <w:color w:val="FF0000"/>
                <w:sz w:val="20"/>
                <w:szCs w:val="20"/>
              </w:rPr>
              <w:t>815.04</w:t>
            </w:r>
            <w:r>
              <w:rPr>
                <w:color w:val="FF0000"/>
                <w:sz w:val="20"/>
                <w:szCs w:val="20"/>
              </w:rPr>
              <w:t>)</w:t>
            </w:r>
          </w:p>
        </w:tc>
        <w:tc>
          <w:tcPr>
            <w:tcW w:w="31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CD700E" w:rsidRDefault="00CD700E" w:rsidP="00CD700E">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CD700E" w:rsidRDefault="00EE2A0A" w:rsidP="00CD700E">
            <w:pPr>
              <w:rPr>
                <w:sz w:val="20"/>
                <w:szCs w:val="20"/>
              </w:rPr>
            </w:pPr>
            <w:r>
              <w:rPr>
                <w:sz w:val="20"/>
                <w:szCs w:val="20"/>
              </w:rPr>
              <w:t>ICT Lead - Valentina</w:t>
            </w:r>
          </w:p>
        </w:tc>
        <w:tc>
          <w:tcPr>
            <w:tcW w:w="1097" w:type="dxa"/>
            <w:tcBorders>
              <w:top w:val="single" w:sz="4" w:space="0" w:color="000000"/>
              <w:left w:val="single" w:sz="4" w:space="0" w:color="000000"/>
              <w:bottom w:val="single" w:sz="4" w:space="0" w:color="000000"/>
              <w:right w:val="single" w:sz="4" w:space="0" w:color="000000"/>
            </w:tcBorders>
          </w:tcPr>
          <w:p w:rsidR="00CD700E" w:rsidRDefault="003870DA" w:rsidP="00CD700E">
            <w:pPr>
              <w:rPr>
                <w:sz w:val="20"/>
                <w:szCs w:val="20"/>
              </w:rPr>
            </w:pPr>
            <w:r>
              <w:rPr>
                <w:sz w:val="20"/>
                <w:szCs w:val="20"/>
              </w:rPr>
              <w:t>End of Spring Term 2021</w:t>
            </w:r>
          </w:p>
          <w:p w:rsidR="00CD700E" w:rsidRDefault="00CD700E" w:rsidP="00CD700E">
            <w:pPr>
              <w:rPr>
                <w:sz w:val="20"/>
                <w:szCs w:val="20"/>
              </w:rPr>
            </w:pPr>
          </w:p>
        </w:tc>
      </w:tr>
      <w:tr w:rsidR="00CD700E" w:rsidTr="00CD700E">
        <w:tc>
          <w:tcPr>
            <w:tcW w:w="495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CD700E" w:rsidRDefault="00EE2A0A" w:rsidP="00CD700E">
            <w:pPr>
              <w:rPr>
                <w:b/>
                <w:sz w:val="20"/>
                <w:szCs w:val="20"/>
                <w:u w:val="single"/>
              </w:rPr>
            </w:pPr>
            <w:r w:rsidRPr="00EE2A0A">
              <w:rPr>
                <w:b/>
                <w:sz w:val="20"/>
                <w:szCs w:val="20"/>
                <w:u w:val="single"/>
              </w:rPr>
              <w:lastRenderedPageBreak/>
              <w:t xml:space="preserve">Nia Academy </w:t>
            </w:r>
          </w:p>
          <w:p w:rsidR="00EE2A0A" w:rsidRDefault="00EE2A0A" w:rsidP="00CD700E">
            <w:pPr>
              <w:rPr>
                <w:b/>
                <w:sz w:val="20"/>
                <w:szCs w:val="20"/>
                <w:u w:val="single"/>
              </w:rPr>
            </w:pPr>
          </w:p>
          <w:p w:rsidR="00EE2A0A" w:rsidRPr="00EE2A0A" w:rsidRDefault="00EE2A0A" w:rsidP="00EE2A0A">
            <w:pPr>
              <w:rPr>
                <w:b/>
                <w:sz w:val="20"/>
                <w:szCs w:val="20"/>
              </w:rPr>
            </w:pPr>
            <w:r>
              <w:rPr>
                <w:b/>
                <w:sz w:val="20"/>
                <w:szCs w:val="20"/>
              </w:rPr>
              <w:t>Haringey has identified d</w:t>
            </w:r>
            <w:r w:rsidRPr="00EE2A0A">
              <w:rPr>
                <w:b/>
                <w:sz w:val="20"/>
                <w:szCs w:val="20"/>
              </w:rPr>
              <w:t>ata evidence which highlight</w:t>
            </w:r>
            <w:r>
              <w:rPr>
                <w:b/>
                <w:sz w:val="20"/>
                <w:szCs w:val="20"/>
              </w:rPr>
              <w:t>s</w:t>
            </w:r>
            <w:r w:rsidRPr="00EE2A0A">
              <w:rPr>
                <w:b/>
                <w:sz w:val="20"/>
                <w:szCs w:val="20"/>
              </w:rPr>
              <w:t xml:space="preserve"> that Black </w:t>
            </w:r>
            <w:proofErr w:type="gramStart"/>
            <w:r w:rsidRPr="00EE2A0A">
              <w:rPr>
                <w:b/>
                <w:sz w:val="20"/>
                <w:szCs w:val="20"/>
              </w:rPr>
              <w:t>pupils</w:t>
            </w:r>
            <w:proofErr w:type="gramEnd"/>
            <w:r w:rsidRPr="00EE2A0A">
              <w:rPr>
                <w:b/>
                <w:sz w:val="20"/>
                <w:szCs w:val="20"/>
              </w:rPr>
              <w:t xml:space="preserve"> achievement is well below many</w:t>
            </w:r>
            <w:r>
              <w:rPr>
                <w:b/>
                <w:sz w:val="20"/>
                <w:szCs w:val="20"/>
              </w:rPr>
              <w:t xml:space="preserve"> </w:t>
            </w:r>
            <w:r w:rsidRPr="00EE2A0A">
              <w:rPr>
                <w:b/>
                <w:sz w:val="20"/>
                <w:szCs w:val="20"/>
              </w:rPr>
              <w:t>of their peers</w:t>
            </w:r>
            <w:r>
              <w:rPr>
                <w:b/>
                <w:sz w:val="20"/>
                <w:szCs w:val="20"/>
              </w:rPr>
              <w:t xml:space="preserve"> and a</w:t>
            </w:r>
            <w:r w:rsidRPr="00EE2A0A">
              <w:rPr>
                <w:b/>
                <w:sz w:val="20"/>
                <w:szCs w:val="20"/>
              </w:rPr>
              <w:t xml:space="preserve">dditional learning opportunities </w:t>
            </w:r>
            <w:r>
              <w:rPr>
                <w:b/>
                <w:sz w:val="20"/>
                <w:szCs w:val="20"/>
              </w:rPr>
              <w:t xml:space="preserve">are </w:t>
            </w:r>
            <w:r w:rsidRPr="00EE2A0A">
              <w:rPr>
                <w:b/>
                <w:sz w:val="20"/>
                <w:szCs w:val="20"/>
              </w:rPr>
              <w:t>needed for most vulnerable children whose</w:t>
            </w:r>
            <w:r>
              <w:rPr>
                <w:b/>
                <w:sz w:val="20"/>
                <w:szCs w:val="20"/>
              </w:rPr>
              <w:t xml:space="preserve"> </w:t>
            </w:r>
            <w:r w:rsidRPr="00EE2A0A">
              <w:rPr>
                <w:b/>
                <w:sz w:val="20"/>
                <w:szCs w:val="20"/>
              </w:rPr>
              <w:t>learning opportunities and therefore their life chances have been seriously</w:t>
            </w:r>
            <w:r>
              <w:rPr>
                <w:b/>
                <w:sz w:val="20"/>
                <w:szCs w:val="20"/>
              </w:rPr>
              <w:t xml:space="preserve"> </w:t>
            </w:r>
            <w:r w:rsidRPr="00EE2A0A">
              <w:rPr>
                <w:b/>
                <w:sz w:val="20"/>
                <w:szCs w:val="20"/>
              </w:rPr>
              <w:t>impacted on by the closure of schools for the past 6 months.</w:t>
            </w:r>
            <w:r>
              <w:rPr>
                <w:b/>
                <w:sz w:val="20"/>
                <w:szCs w:val="20"/>
              </w:rPr>
              <w:t xml:space="preserve">  The Nia Academy has been set up to provide </w:t>
            </w:r>
            <w:r w:rsidRPr="00EE2A0A">
              <w:rPr>
                <w:b/>
                <w:sz w:val="20"/>
                <w:szCs w:val="20"/>
              </w:rPr>
              <w:t>English (reading and writing)</w:t>
            </w:r>
            <w:r>
              <w:rPr>
                <w:b/>
                <w:sz w:val="20"/>
                <w:szCs w:val="20"/>
              </w:rPr>
              <w:t xml:space="preserve"> and B</w:t>
            </w:r>
            <w:r w:rsidRPr="00EE2A0A">
              <w:rPr>
                <w:b/>
                <w:sz w:val="20"/>
                <w:szCs w:val="20"/>
              </w:rPr>
              <w:t>lack cultural stud</w:t>
            </w:r>
            <w:r>
              <w:rPr>
                <w:b/>
                <w:sz w:val="20"/>
                <w:szCs w:val="20"/>
              </w:rPr>
              <w:t>y online lessons and is targeting Year 4 and Year 7 pupils.</w:t>
            </w:r>
          </w:p>
          <w:p w:rsidR="00EE2A0A" w:rsidRDefault="00EE2A0A" w:rsidP="00EE2A0A">
            <w:pPr>
              <w:rPr>
                <w:sz w:val="20"/>
                <w:szCs w:val="20"/>
              </w:rPr>
            </w:pPr>
          </w:p>
        </w:tc>
        <w:tc>
          <w:tcPr>
            <w:tcW w:w="482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E2A0A" w:rsidRDefault="00EE2A0A" w:rsidP="00EE2A0A">
            <w:pPr>
              <w:rPr>
                <w:color w:val="000000"/>
                <w:sz w:val="20"/>
                <w:szCs w:val="20"/>
              </w:rPr>
            </w:pPr>
          </w:p>
          <w:p w:rsidR="00EE2A0A" w:rsidRDefault="00EE2A0A" w:rsidP="00EE2A0A">
            <w:pPr>
              <w:rPr>
                <w:color w:val="000000"/>
                <w:sz w:val="20"/>
                <w:szCs w:val="20"/>
              </w:rPr>
            </w:pPr>
            <w:proofErr w:type="spellStart"/>
            <w:r>
              <w:rPr>
                <w:color w:val="000000"/>
                <w:sz w:val="20"/>
                <w:szCs w:val="20"/>
              </w:rPr>
              <w:t>Lancasterian</w:t>
            </w:r>
            <w:proofErr w:type="spellEnd"/>
            <w:r>
              <w:rPr>
                <w:color w:val="000000"/>
                <w:sz w:val="20"/>
                <w:szCs w:val="20"/>
              </w:rPr>
              <w:t xml:space="preserve"> has identified 6 Year 4 pupils who will engage with the Nia Academy funded by the school. It runs as a </w:t>
            </w:r>
            <w:proofErr w:type="gramStart"/>
            <w:r>
              <w:rPr>
                <w:color w:val="000000"/>
                <w:sz w:val="20"/>
                <w:szCs w:val="20"/>
              </w:rPr>
              <w:t>3 year</w:t>
            </w:r>
            <w:proofErr w:type="gramEnd"/>
            <w:r>
              <w:rPr>
                <w:color w:val="000000"/>
                <w:sz w:val="20"/>
                <w:szCs w:val="20"/>
              </w:rPr>
              <w:t xml:space="preserve"> programme.</w:t>
            </w:r>
          </w:p>
          <w:p w:rsidR="00EE2A0A" w:rsidRDefault="00EE2A0A" w:rsidP="00EE2A0A">
            <w:pPr>
              <w:rPr>
                <w:color w:val="000000"/>
                <w:sz w:val="20"/>
                <w:szCs w:val="20"/>
              </w:rPr>
            </w:pPr>
          </w:p>
          <w:p w:rsidR="003870DA" w:rsidRPr="003870DA" w:rsidRDefault="003870DA" w:rsidP="003870DA">
            <w:pPr>
              <w:pStyle w:val="ListParagraph"/>
              <w:jc w:val="right"/>
              <w:rPr>
                <w:color w:val="FF0000"/>
                <w:sz w:val="20"/>
                <w:szCs w:val="20"/>
              </w:rPr>
            </w:pPr>
            <w:r>
              <w:rPr>
                <w:color w:val="FF0000"/>
                <w:sz w:val="20"/>
                <w:szCs w:val="20"/>
              </w:rPr>
              <w:t>(</w:t>
            </w:r>
            <w:r w:rsidR="00EE2A0A" w:rsidRPr="003870DA">
              <w:rPr>
                <w:color w:val="FF0000"/>
                <w:sz w:val="20"/>
                <w:szCs w:val="20"/>
              </w:rPr>
              <w:t>Cost per child is £14 per Saturday for 2 hours (£7 per hour</w:t>
            </w:r>
            <w:r w:rsidRPr="003870DA">
              <w:rPr>
                <w:color w:val="FF0000"/>
                <w:sz w:val="20"/>
                <w:szCs w:val="20"/>
              </w:rPr>
              <w:t>)</w:t>
            </w:r>
          </w:p>
          <w:p w:rsidR="003870DA" w:rsidRPr="003870DA" w:rsidRDefault="00EE2A0A" w:rsidP="003870DA">
            <w:pPr>
              <w:pStyle w:val="ListParagraph"/>
              <w:jc w:val="right"/>
              <w:rPr>
                <w:color w:val="FF0000"/>
                <w:sz w:val="20"/>
                <w:szCs w:val="20"/>
              </w:rPr>
            </w:pPr>
            <w:r w:rsidRPr="003870DA">
              <w:rPr>
                <w:color w:val="FF0000"/>
                <w:sz w:val="20"/>
                <w:szCs w:val="20"/>
              </w:rPr>
              <w:t>Cost per child for a year £14 x 30 weeks = £420</w:t>
            </w:r>
          </w:p>
          <w:p w:rsidR="003870DA" w:rsidRPr="003870DA" w:rsidRDefault="00EE2A0A" w:rsidP="003870DA">
            <w:pPr>
              <w:pStyle w:val="ListParagraph"/>
              <w:numPr>
                <w:ilvl w:val="0"/>
                <w:numId w:val="16"/>
              </w:numPr>
              <w:jc w:val="right"/>
              <w:rPr>
                <w:color w:val="FF0000"/>
                <w:sz w:val="20"/>
                <w:szCs w:val="20"/>
              </w:rPr>
            </w:pPr>
            <w:r w:rsidRPr="003870DA">
              <w:rPr>
                <w:color w:val="FF0000"/>
                <w:sz w:val="20"/>
                <w:szCs w:val="20"/>
              </w:rPr>
              <w:t xml:space="preserve">First year cost for a child is £420 </w:t>
            </w:r>
          </w:p>
          <w:p w:rsidR="003870DA" w:rsidRPr="003870DA" w:rsidRDefault="00EE2A0A" w:rsidP="003870DA">
            <w:pPr>
              <w:pStyle w:val="ListParagraph"/>
              <w:numPr>
                <w:ilvl w:val="0"/>
                <w:numId w:val="16"/>
              </w:numPr>
              <w:jc w:val="right"/>
              <w:rPr>
                <w:color w:val="FF0000"/>
                <w:sz w:val="20"/>
                <w:szCs w:val="20"/>
              </w:rPr>
            </w:pPr>
            <w:r w:rsidRPr="003870DA">
              <w:rPr>
                <w:color w:val="FF0000"/>
                <w:sz w:val="20"/>
                <w:szCs w:val="20"/>
              </w:rPr>
              <w:t>In the child’s second year £210</w:t>
            </w:r>
          </w:p>
          <w:p w:rsidR="003870DA" w:rsidRPr="003870DA" w:rsidRDefault="003870DA" w:rsidP="003870DA">
            <w:pPr>
              <w:pStyle w:val="ListParagraph"/>
              <w:numPr>
                <w:ilvl w:val="0"/>
                <w:numId w:val="16"/>
              </w:numPr>
              <w:jc w:val="right"/>
              <w:rPr>
                <w:color w:val="FF0000"/>
                <w:sz w:val="20"/>
                <w:szCs w:val="20"/>
              </w:rPr>
            </w:pPr>
            <w:r>
              <w:rPr>
                <w:color w:val="FF0000"/>
                <w:sz w:val="20"/>
                <w:szCs w:val="20"/>
              </w:rPr>
              <w:t>I</w:t>
            </w:r>
            <w:r w:rsidR="00EE2A0A" w:rsidRPr="003870DA">
              <w:rPr>
                <w:color w:val="FF0000"/>
                <w:sz w:val="20"/>
                <w:szCs w:val="20"/>
              </w:rPr>
              <w:t>n the child’s third year £210</w:t>
            </w:r>
          </w:p>
          <w:p w:rsidR="00CD700E" w:rsidRDefault="00EE2A0A" w:rsidP="003870DA">
            <w:pPr>
              <w:pStyle w:val="ListParagraph"/>
              <w:jc w:val="right"/>
              <w:rPr>
                <w:color w:val="FF0000"/>
                <w:sz w:val="20"/>
                <w:szCs w:val="20"/>
              </w:rPr>
            </w:pPr>
            <w:r w:rsidRPr="003870DA">
              <w:rPr>
                <w:color w:val="FF0000"/>
                <w:sz w:val="20"/>
                <w:szCs w:val="20"/>
              </w:rPr>
              <w:t xml:space="preserve">Total cost for a child to do a </w:t>
            </w:r>
            <w:proofErr w:type="gramStart"/>
            <w:r w:rsidRPr="003870DA">
              <w:rPr>
                <w:color w:val="FF0000"/>
                <w:sz w:val="20"/>
                <w:szCs w:val="20"/>
              </w:rPr>
              <w:t>3 year</w:t>
            </w:r>
            <w:proofErr w:type="gramEnd"/>
            <w:r w:rsidRPr="003870DA">
              <w:rPr>
                <w:color w:val="FF0000"/>
                <w:sz w:val="20"/>
                <w:szCs w:val="20"/>
              </w:rPr>
              <w:t xml:space="preserve"> Saturday programme is</w:t>
            </w:r>
            <w:r w:rsidR="003870DA" w:rsidRPr="003870DA">
              <w:rPr>
                <w:color w:val="FF0000"/>
                <w:sz w:val="20"/>
                <w:szCs w:val="20"/>
              </w:rPr>
              <w:t xml:space="preserve"> </w:t>
            </w:r>
            <w:r w:rsidRPr="003870DA">
              <w:rPr>
                <w:color w:val="FF0000"/>
                <w:sz w:val="20"/>
                <w:szCs w:val="20"/>
              </w:rPr>
              <w:t>£840 (for 90 Saturdays)</w:t>
            </w:r>
          </w:p>
          <w:p w:rsidR="003870DA" w:rsidRDefault="003870DA" w:rsidP="003870DA">
            <w:pPr>
              <w:pStyle w:val="ListParagraph"/>
              <w:jc w:val="right"/>
              <w:rPr>
                <w:color w:val="000000"/>
                <w:sz w:val="20"/>
                <w:szCs w:val="20"/>
              </w:rPr>
            </w:pPr>
          </w:p>
          <w:p w:rsidR="003870DA" w:rsidRPr="00EE2A0A" w:rsidRDefault="003870DA" w:rsidP="003870DA">
            <w:pPr>
              <w:pStyle w:val="ListParagraph"/>
              <w:jc w:val="right"/>
              <w:rPr>
                <w:color w:val="000000"/>
                <w:sz w:val="20"/>
                <w:szCs w:val="20"/>
              </w:rPr>
            </w:pPr>
            <w:r w:rsidRPr="003870DA">
              <w:rPr>
                <w:color w:val="FF0000"/>
                <w:sz w:val="20"/>
                <w:szCs w:val="20"/>
              </w:rPr>
              <w:t>We will use catch up funding for the first year = £2,520)</w:t>
            </w:r>
          </w:p>
        </w:tc>
        <w:tc>
          <w:tcPr>
            <w:tcW w:w="31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CD700E" w:rsidRDefault="00CD700E" w:rsidP="00CD700E">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CD700E" w:rsidRDefault="003870DA" w:rsidP="00CD700E">
            <w:pPr>
              <w:rPr>
                <w:sz w:val="20"/>
                <w:szCs w:val="20"/>
              </w:rPr>
            </w:pPr>
            <w:r>
              <w:rPr>
                <w:sz w:val="20"/>
                <w:szCs w:val="20"/>
              </w:rPr>
              <w:t>DHT and PPFT</w:t>
            </w:r>
          </w:p>
        </w:tc>
        <w:tc>
          <w:tcPr>
            <w:tcW w:w="1097" w:type="dxa"/>
            <w:tcBorders>
              <w:top w:val="single" w:sz="4" w:space="0" w:color="000000"/>
              <w:left w:val="single" w:sz="4" w:space="0" w:color="000000"/>
              <w:bottom w:val="single" w:sz="4" w:space="0" w:color="000000"/>
              <w:right w:val="single" w:sz="4" w:space="0" w:color="000000"/>
            </w:tcBorders>
          </w:tcPr>
          <w:p w:rsidR="00CD700E" w:rsidRDefault="003870DA" w:rsidP="00CD700E">
            <w:pPr>
              <w:rPr>
                <w:sz w:val="20"/>
                <w:szCs w:val="20"/>
              </w:rPr>
            </w:pPr>
            <w:r>
              <w:rPr>
                <w:sz w:val="20"/>
                <w:szCs w:val="20"/>
              </w:rPr>
              <w:t>Summer 2021</w:t>
            </w:r>
          </w:p>
        </w:tc>
      </w:tr>
      <w:tr w:rsidR="00CD700E" w:rsidTr="00CD700E">
        <w:tc>
          <w:tcPr>
            <w:tcW w:w="14038" w:type="dxa"/>
            <w:gridSpan w:val="4"/>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CD700E" w:rsidRPr="003870DA" w:rsidRDefault="00CD700E" w:rsidP="00CD700E">
            <w:pPr>
              <w:jc w:val="right"/>
              <w:rPr>
                <w:b/>
                <w:color w:val="FF0000"/>
                <w:sz w:val="20"/>
                <w:szCs w:val="20"/>
              </w:rPr>
            </w:pPr>
            <w:r w:rsidRPr="003870DA">
              <w:rPr>
                <w:b/>
                <w:color w:val="FF0000"/>
                <w:sz w:val="20"/>
                <w:szCs w:val="20"/>
              </w:rPr>
              <w:t>Total budgeted cost</w:t>
            </w:r>
          </w:p>
        </w:tc>
        <w:tc>
          <w:tcPr>
            <w:tcW w:w="1097" w:type="dxa"/>
            <w:tcBorders>
              <w:top w:val="single" w:sz="4" w:space="0" w:color="000000"/>
              <w:left w:val="single" w:sz="4" w:space="0" w:color="000000"/>
              <w:bottom w:val="single" w:sz="4" w:space="0" w:color="000000"/>
              <w:right w:val="single" w:sz="4" w:space="0" w:color="000000"/>
            </w:tcBorders>
          </w:tcPr>
          <w:p w:rsidR="00CD700E" w:rsidRPr="003870DA" w:rsidRDefault="003870DA" w:rsidP="00CD700E">
            <w:pPr>
              <w:rPr>
                <w:b/>
                <w:color w:val="FF0000"/>
                <w:sz w:val="20"/>
                <w:szCs w:val="20"/>
              </w:rPr>
            </w:pPr>
            <w:r w:rsidRPr="003870DA">
              <w:rPr>
                <w:b/>
                <w:color w:val="FF0000"/>
                <w:sz w:val="20"/>
                <w:szCs w:val="20"/>
              </w:rPr>
              <w:t>£3,335.04</w:t>
            </w:r>
          </w:p>
        </w:tc>
      </w:tr>
    </w:tbl>
    <w:p w:rsidR="005638CF" w:rsidRDefault="005638CF">
      <w:pPr>
        <w:rPr>
          <w:sz w:val="18"/>
          <w:szCs w:val="18"/>
        </w:rPr>
      </w:pPr>
    </w:p>
    <w:sectPr w:rsidR="005638CF">
      <w:pgSz w:w="16838" w:h="11906" w:orient="landscape"/>
      <w:pgMar w:top="426" w:right="851" w:bottom="142"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206E8"/>
    <w:multiLevelType w:val="multilevel"/>
    <w:tmpl w:val="2EA6E012"/>
    <w:lvl w:ilvl="0">
      <w:start w:val="1"/>
      <w:numFmt w:val="decimal"/>
      <w:pStyle w:val="DfESOut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8944FDD"/>
    <w:multiLevelType w:val="hybridMultilevel"/>
    <w:tmpl w:val="250C94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C81D9A"/>
    <w:multiLevelType w:val="hybridMultilevel"/>
    <w:tmpl w:val="BA5A7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6079A"/>
    <w:multiLevelType w:val="multilevel"/>
    <w:tmpl w:val="A15492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BD666E0"/>
    <w:multiLevelType w:val="hybridMultilevel"/>
    <w:tmpl w:val="F8683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CD5FC9"/>
    <w:multiLevelType w:val="multilevel"/>
    <w:tmpl w:val="D45C6CF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9BD0D5F"/>
    <w:multiLevelType w:val="multilevel"/>
    <w:tmpl w:val="5C988E4C"/>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AD3782D"/>
    <w:multiLevelType w:val="hybridMultilevel"/>
    <w:tmpl w:val="EDF6BD50"/>
    <w:lvl w:ilvl="0" w:tplc="9B046450">
      <w:start w:val="2"/>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7DB5606"/>
    <w:multiLevelType w:val="multilevel"/>
    <w:tmpl w:val="D45C6CF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C017A0C"/>
    <w:multiLevelType w:val="multilevel"/>
    <w:tmpl w:val="CF78D2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EBD7081"/>
    <w:multiLevelType w:val="multilevel"/>
    <w:tmpl w:val="D45C6CF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6"/>
  </w:num>
  <w:num w:numId="3">
    <w:abstractNumId w:val="5"/>
  </w:num>
  <w:num w:numId="4">
    <w:abstractNumId w:val="9"/>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9"/>
  </w:num>
  <w:num w:numId="10">
    <w:abstractNumId w:val="3"/>
  </w:num>
  <w:num w:numId="11">
    <w:abstractNumId w:val="6"/>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0"/>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E6B"/>
    <w:rsid w:val="000A1A7B"/>
    <w:rsid w:val="000B5C3A"/>
    <w:rsid w:val="000D7445"/>
    <w:rsid w:val="001959E5"/>
    <w:rsid w:val="001A02B2"/>
    <w:rsid w:val="002321C2"/>
    <w:rsid w:val="002D1B67"/>
    <w:rsid w:val="003513F6"/>
    <w:rsid w:val="003870DA"/>
    <w:rsid w:val="00396C22"/>
    <w:rsid w:val="003D0A8C"/>
    <w:rsid w:val="00420BF0"/>
    <w:rsid w:val="004669D3"/>
    <w:rsid w:val="005638CF"/>
    <w:rsid w:val="00716BA1"/>
    <w:rsid w:val="007C66EB"/>
    <w:rsid w:val="008203AD"/>
    <w:rsid w:val="0082147D"/>
    <w:rsid w:val="008C70FC"/>
    <w:rsid w:val="009421F8"/>
    <w:rsid w:val="00943FCD"/>
    <w:rsid w:val="009D0E9D"/>
    <w:rsid w:val="00A702D2"/>
    <w:rsid w:val="00B7761D"/>
    <w:rsid w:val="00BA397E"/>
    <w:rsid w:val="00BD2E6B"/>
    <w:rsid w:val="00C6025B"/>
    <w:rsid w:val="00C877B1"/>
    <w:rsid w:val="00CD700E"/>
    <w:rsid w:val="00DC6EC7"/>
    <w:rsid w:val="00EE2A0A"/>
    <w:rsid w:val="00EF3A3B"/>
    <w:rsid w:val="00F1151E"/>
    <w:rsid w:val="00F46932"/>
    <w:rsid w:val="00FE5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ACDCB5-42F3-4810-9556-B450880A5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06F3"/>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5"/>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tabs>
        <w:tab w:val="num" w:pos="720"/>
      </w:tabs>
      <w:overflowPunct w:val="0"/>
      <w:autoSpaceDE w:val="0"/>
      <w:autoSpaceDN w:val="0"/>
      <w:adjustRightInd w:val="0"/>
      <w:spacing w:after="240"/>
      <w:ind w:left="720" w:hanging="72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NormalWeb">
    <w:name w:val="Normal (Web)"/>
    <w:basedOn w:val="Normal"/>
    <w:uiPriority w:val="99"/>
    <w:semiHidden/>
    <w:unhideWhenUsed/>
    <w:rsid w:val="00D51B67"/>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80490">
      <w:bodyDiv w:val="1"/>
      <w:marLeft w:val="0"/>
      <w:marRight w:val="0"/>
      <w:marTop w:val="0"/>
      <w:marBottom w:val="0"/>
      <w:divBdr>
        <w:top w:val="none" w:sz="0" w:space="0" w:color="auto"/>
        <w:left w:val="none" w:sz="0" w:space="0" w:color="auto"/>
        <w:bottom w:val="none" w:sz="0" w:space="0" w:color="auto"/>
        <w:right w:val="none" w:sz="0" w:space="0" w:color="auto"/>
      </w:divBdr>
    </w:div>
    <w:div w:id="736785160">
      <w:bodyDiv w:val="1"/>
      <w:marLeft w:val="0"/>
      <w:marRight w:val="0"/>
      <w:marTop w:val="0"/>
      <w:marBottom w:val="0"/>
      <w:divBdr>
        <w:top w:val="none" w:sz="0" w:space="0" w:color="auto"/>
        <w:left w:val="none" w:sz="0" w:space="0" w:color="auto"/>
        <w:bottom w:val="none" w:sz="0" w:space="0" w:color="auto"/>
        <w:right w:val="none" w:sz="0" w:space="0" w:color="auto"/>
      </w:divBdr>
    </w:div>
    <w:div w:id="876503807">
      <w:bodyDiv w:val="1"/>
      <w:marLeft w:val="0"/>
      <w:marRight w:val="0"/>
      <w:marTop w:val="0"/>
      <w:marBottom w:val="0"/>
      <w:divBdr>
        <w:top w:val="none" w:sz="0" w:space="0" w:color="auto"/>
        <w:left w:val="none" w:sz="0" w:space="0" w:color="auto"/>
        <w:bottom w:val="none" w:sz="0" w:space="0" w:color="auto"/>
        <w:right w:val="none" w:sz="0" w:space="0" w:color="auto"/>
      </w:divBdr>
    </w:div>
    <w:div w:id="1647202079">
      <w:bodyDiv w:val="1"/>
      <w:marLeft w:val="0"/>
      <w:marRight w:val="0"/>
      <w:marTop w:val="0"/>
      <w:marBottom w:val="0"/>
      <w:divBdr>
        <w:top w:val="none" w:sz="0" w:space="0" w:color="auto"/>
        <w:left w:val="none" w:sz="0" w:space="0" w:color="auto"/>
        <w:bottom w:val="none" w:sz="0" w:space="0" w:color="auto"/>
        <w:right w:val="none" w:sz="0" w:space="0" w:color="auto"/>
      </w:divBdr>
    </w:div>
    <w:div w:id="17100310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ducationendowmentfoundation.org.uk/covid-19-resources/covid-19-support-guide-for-school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gov.uk/government/publications/actions-for-schools-during-the-coronavirus-outbreak/guidance-for-full-opening-schools" TargetMode="Externa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E2E01CE081494C9872D41166DDFFFC" ma:contentTypeVersion="10" ma:contentTypeDescription="Create a new document." ma:contentTypeScope="" ma:versionID="85e661c556e9cebf3b349c12906971ae">
  <xsd:schema xmlns:xsd="http://www.w3.org/2001/XMLSchema" xmlns:xs="http://www.w3.org/2001/XMLSchema" xmlns:p="http://schemas.microsoft.com/office/2006/metadata/properties" xmlns:ns2="c7e25e92-7b70-41fb-a950-c391a869d78b" xmlns:ns3="5e32dee9-df16-4e4e-82d1-73d181c0b3f2" targetNamespace="http://schemas.microsoft.com/office/2006/metadata/properties" ma:root="true" ma:fieldsID="42fb7922aa5ad42cc8ce24e868ab8ce9" ns2:_="" ns3:_="">
    <xsd:import namespace="c7e25e92-7b70-41fb-a950-c391a869d78b"/>
    <xsd:import namespace="5e32dee9-df16-4e4e-82d1-73d181c0b3f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25e92-7b70-41fb-a950-c391a869d78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32dee9-df16-4e4e-82d1-73d181c0b3f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c7e25e92-7b70-41fb-a950-c391a869d78b">KK4CAX22ASC4-1321773483-286</_dlc_DocId>
    <_dlc_DocIdUrl xmlns="c7e25e92-7b70-41fb-a950-c391a869d78b">
      <Url>https://haringeypartnership.sharepoint.com/sites/covid19/_layouts/15/DocIdRedir.aspx?ID=KK4CAX22ASC4-1321773483-286</Url>
      <Description>KK4CAX22ASC4-1321773483-286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he+WSvYjlEDkB2WPnVXqZPOa+1ug==">AMUW2mWsgqhBKY9fG4X5XZbHI/aqCPLujJFeQowmmqkotcXMYrS7XLoMoLp7yxNqY+RK7pg/s7lAvT/f4flXzL3K1gpD1/u8UTqUeO/VSGLNgQPcTxKGMks=</go:docsCustomData>
</go:gDocsCustomXmlDataStorag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D484DD8-B61D-4502-AA43-BDEB04FB4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25e92-7b70-41fb-a950-c391a869d78b"/>
    <ds:schemaRef ds:uri="5e32dee9-df16-4e4e-82d1-73d181c0b3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049D7D-E02C-47F7-894E-9C9483DEBC26}">
  <ds:schemaRefs>
    <ds:schemaRef ds:uri="http://schemas.microsoft.com/office/2006/metadata/properties"/>
    <ds:schemaRef ds:uri="http://schemas.microsoft.com/office/infopath/2007/PartnerControls"/>
    <ds:schemaRef ds:uri="c7e25e92-7b70-41fb-a950-c391a869d78b"/>
  </ds:schemaRefs>
</ds:datastoreItem>
</file>

<file path=customXml/itemProps3.xml><?xml version="1.0" encoding="utf-8"?>
<ds:datastoreItem xmlns:ds="http://schemas.openxmlformats.org/officeDocument/2006/customXml" ds:itemID="{2BBA2996-0558-4CAE-87AC-C937D7A3896B}">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2CC98015-F517-4CBA-BAFF-543B0943AAB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1436</Words>
  <Characters>8187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Mason</dc:creator>
  <cp:lastModifiedBy>Shenikia Green</cp:lastModifiedBy>
  <cp:revision>2</cp:revision>
  <cp:lastPrinted>2020-11-17T12:51:00Z</cp:lastPrinted>
  <dcterms:created xsi:type="dcterms:W3CDTF">2020-12-18T11:42:00Z</dcterms:created>
  <dcterms:modified xsi:type="dcterms:W3CDTF">2020-12-18T11:42:00Z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0x01010014E2E01CE081494C9872D41166DDFFFC</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85d5e7b3-523f-4899-a2a4-367da453b538</vt:lpwstr>
  </property>
</Properties>
</file>